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1.0 -->
  <w:body>
    <w:p w:rsidR="00091295" w:rsidRPr="00587CCC" w:rsidP="00A03C73" w14:paraId="0D1AFC07" w14:textId="7E7646D9">
      <w:pPr>
        <w:spacing w:after="0" w:line="240" w:lineRule="auto"/>
        <w:jc w:val="right"/>
        <w:rPr>
          <w:rFonts w:ascii="Times New Roman" w:hAnsi="Times New Roman" w:cs="Times New Roman"/>
          <w:b/>
          <w:color w:val="000000" w:themeColor="text1"/>
          <w:sz w:val="22"/>
          <w:szCs w:val="22"/>
        </w:rPr>
      </w:pPr>
      <w:bookmarkStart w:id="0" w:name="_Hlk97815863"/>
      <w:r w:rsidRPr="00587CCC">
        <w:rPr>
          <w:rFonts w:ascii="Times New Roman" w:hAnsi="Times New Roman" w:cs="Times New Roman"/>
          <w:b/>
          <w:color w:val="000000" w:themeColor="text1"/>
          <w:sz w:val="22"/>
          <w:szCs w:val="22"/>
        </w:rPr>
        <w:t>DA</w:t>
      </w:r>
      <w:r w:rsidRPr="00587CCC" w:rsidR="00F74844">
        <w:rPr>
          <w:rFonts w:ascii="Times New Roman" w:hAnsi="Times New Roman" w:cs="Times New Roman"/>
          <w:b/>
          <w:color w:val="000000" w:themeColor="text1"/>
          <w:sz w:val="22"/>
          <w:szCs w:val="22"/>
        </w:rPr>
        <w:t xml:space="preserve"> </w:t>
      </w:r>
      <w:r w:rsidR="00612BFF">
        <w:rPr>
          <w:rFonts w:ascii="Times New Roman" w:hAnsi="Times New Roman" w:cs="Times New Roman"/>
          <w:b/>
          <w:color w:val="000000" w:themeColor="text1"/>
          <w:sz w:val="22"/>
          <w:szCs w:val="22"/>
        </w:rPr>
        <w:t>26-997</w:t>
      </w:r>
    </w:p>
    <w:p w:rsidR="00091295" w:rsidRPr="00587CCC" w:rsidP="00A03C73" w14:paraId="5F435EF9" w14:textId="62DB2DD3">
      <w:pPr>
        <w:spacing w:before="60" w:after="0" w:line="240" w:lineRule="auto"/>
        <w:jc w:val="right"/>
        <w:rPr>
          <w:rFonts w:ascii="Times New Roman" w:hAnsi="Times New Roman" w:cs="Times New Roman"/>
          <w:b/>
          <w:color w:val="000000" w:themeColor="text1"/>
          <w:sz w:val="22"/>
          <w:szCs w:val="22"/>
        </w:rPr>
      </w:pPr>
      <w:r w:rsidRPr="00587CCC">
        <w:rPr>
          <w:rFonts w:ascii="Times New Roman" w:hAnsi="Times New Roman" w:cs="Times New Roman"/>
          <w:b/>
          <w:color w:val="000000" w:themeColor="text1"/>
          <w:sz w:val="22"/>
          <w:szCs w:val="22"/>
        </w:rPr>
        <w:t>Released:</w:t>
      </w:r>
      <w:r w:rsidRPr="00587CCC" w:rsidR="00BA45F3">
        <w:rPr>
          <w:rFonts w:ascii="Times New Roman" w:hAnsi="Times New Roman" w:cs="Times New Roman"/>
          <w:b/>
          <w:color w:val="000000" w:themeColor="text1"/>
          <w:sz w:val="22"/>
          <w:szCs w:val="22"/>
        </w:rPr>
        <w:t xml:space="preserve"> </w:t>
      </w:r>
      <w:r w:rsidRPr="00587CCC">
        <w:rPr>
          <w:rFonts w:ascii="Times New Roman" w:hAnsi="Times New Roman" w:cs="Times New Roman"/>
          <w:b/>
          <w:color w:val="000000" w:themeColor="text1"/>
          <w:sz w:val="22"/>
          <w:szCs w:val="22"/>
        </w:rPr>
        <w:t xml:space="preserve"> </w:t>
      </w:r>
      <w:r w:rsidR="00612BFF">
        <w:rPr>
          <w:rFonts w:ascii="Times New Roman" w:hAnsi="Times New Roman" w:cs="Times New Roman"/>
          <w:b/>
          <w:color w:val="000000" w:themeColor="text1"/>
          <w:sz w:val="22"/>
          <w:szCs w:val="22"/>
        </w:rPr>
        <w:t>September 17, 2026</w:t>
      </w:r>
    </w:p>
    <w:p w:rsidR="00091295" w:rsidRPr="00587CCC" w:rsidP="00A03C73" w14:paraId="369F6CC5" w14:textId="77777777">
      <w:pPr>
        <w:spacing w:after="0" w:line="240" w:lineRule="auto"/>
        <w:jc w:val="right"/>
        <w:rPr>
          <w:rFonts w:ascii="Times New Roman" w:hAnsi="Times New Roman" w:cs="Times New Roman"/>
          <w:color w:val="000000" w:themeColor="text1"/>
          <w:sz w:val="22"/>
          <w:szCs w:val="22"/>
        </w:rPr>
      </w:pPr>
    </w:p>
    <w:p w:rsidR="00A06FBB" w:rsidP="00A03C73" w14:paraId="366A9AEF" w14:textId="77777777">
      <w:pPr>
        <w:spacing w:after="0" w:line="240" w:lineRule="auto"/>
        <w:ind w:left="360" w:right="450" w:firstLine="360"/>
        <w:jc w:val="center"/>
        <w:rPr>
          <w:rFonts w:ascii="Times New Roman" w:hAnsi="Times New Roman" w:cs="Times New Roman"/>
          <w:b/>
          <w:caps/>
          <w:color w:val="000000" w:themeColor="text1"/>
          <w:sz w:val="22"/>
          <w:szCs w:val="22"/>
        </w:rPr>
      </w:pPr>
      <w:r>
        <w:rPr>
          <w:rFonts w:ascii="Times New Roman" w:hAnsi="Times New Roman" w:cs="Times New Roman"/>
          <w:b/>
          <w:caps/>
          <w:color w:val="000000" w:themeColor="text1"/>
          <w:sz w:val="22"/>
          <w:szCs w:val="22"/>
        </w:rPr>
        <w:t>FCC</w:t>
      </w:r>
      <w:r w:rsidRPr="00587CCC" w:rsidR="001C6A9C">
        <w:rPr>
          <w:rFonts w:ascii="Times New Roman" w:hAnsi="Times New Roman" w:cs="Times New Roman"/>
          <w:b/>
          <w:caps/>
          <w:color w:val="000000" w:themeColor="text1"/>
          <w:sz w:val="22"/>
          <w:szCs w:val="22"/>
        </w:rPr>
        <w:t xml:space="preserve"> SEEKS COMMENT </w:t>
      </w:r>
      <w:r w:rsidRPr="00587CCC" w:rsidR="000F401F">
        <w:rPr>
          <w:rFonts w:ascii="Times New Roman" w:hAnsi="Times New Roman" w:cs="Times New Roman"/>
          <w:b/>
          <w:caps/>
          <w:color w:val="000000" w:themeColor="text1"/>
          <w:sz w:val="22"/>
          <w:szCs w:val="22"/>
        </w:rPr>
        <w:t>O</w:t>
      </w:r>
      <w:r>
        <w:rPr>
          <w:rFonts w:ascii="Times New Roman" w:hAnsi="Times New Roman" w:cs="Times New Roman"/>
          <w:b/>
          <w:caps/>
          <w:color w:val="000000" w:themeColor="text1"/>
          <w:sz w:val="22"/>
          <w:szCs w:val="22"/>
        </w:rPr>
        <w:t xml:space="preserve">N RF EXPOSURE ISSUES </w:t>
      </w:r>
      <w:r w:rsidR="00F56544">
        <w:rPr>
          <w:rFonts w:ascii="Times New Roman" w:hAnsi="Times New Roman" w:cs="Times New Roman"/>
          <w:b/>
          <w:caps/>
          <w:color w:val="000000" w:themeColor="text1"/>
          <w:sz w:val="22"/>
          <w:szCs w:val="22"/>
        </w:rPr>
        <w:t xml:space="preserve">SUBJECT </w:t>
      </w:r>
      <w:r w:rsidR="00D963A7">
        <w:rPr>
          <w:rFonts w:ascii="Times New Roman" w:hAnsi="Times New Roman" w:cs="Times New Roman"/>
          <w:b/>
          <w:caps/>
          <w:color w:val="000000" w:themeColor="text1"/>
          <w:sz w:val="22"/>
          <w:szCs w:val="22"/>
        </w:rPr>
        <w:t>TO</w:t>
      </w:r>
      <w:r w:rsidR="00F56544">
        <w:rPr>
          <w:rFonts w:ascii="Times New Roman" w:hAnsi="Times New Roman" w:cs="Times New Roman"/>
          <w:b/>
          <w:caps/>
          <w:color w:val="000000" w:themeColor="text1"/>
          <w:sz w:val="22"/>
          <w:szCs w:val="22"/>
        </w:rPr>
        <w:t xml:space="preserve"> </w:t>
      </w:r>
    </w:p>
    <w:p w:rsidR="00091295" w:rsidRPr="00587CCC" w:rsidP="00A06FBB" w14:paraId="1D1C9424" w14:textId="71149189">
      <w:pPr>
        <w:spacing w:after="0" w:line="240" w:lineRule="auto"/>
        <w:ind w:left="360" w:right="450" w:firstLine="360"/>
        <w:jc w:val="center"/>
        <w:rPr>
          <w:rFonts w:ascii="Times New Roman" w:hAnsi="Times New Roman" w:cs="Times New Roman"/>
          <w:b/>
          <w:caps/>
          <w:color w:val="000000" w:themeColor="text1"/>
          <w:sz w:val="22"/>
          <w:szCs w:val="22"/>
        </w:rPr>
      </w:pPr>
      <w:r>
        <w:rPr>
          <w:rFonts w:ascii="Times New Roman" w:hAnsi="Times New Roman" w:cs="Times New Roman"/>
          <w:b/>
          <w:caps/>
          <w:color w:val="000000" w:themeColor="text1"/>
          <w:sz w:val="22"/>
          <w:szCs w:val="22"/>
        </w:rPr>
        <w:t>D.C. CiRCUIT</w:t>
      </w:r>
      <w:r w:rsidR="00D963A7">
        <w:rPr>
          <w:rFonts w:ascii="Times New Roman" w:hAnsi="Times New Roman" w:cs="Times New Roman"/>
          <w:b/>
          <w:caps/>
          <w:color w:val="000000" w:themeColor="text1"/>
          <w:sz w:val="22"/>
          <w:szCs w:val="22"/>
        </w:rPr>
        <w:t xml:space="preserve"> REMAND</w:t>
      </w:r>
      <w:r>
        <w:rPr>
          <w:rFonts w:ascii="Times New Roman" w:hAnsi="Times New Roman" w:cs="Times New Roman"/>
          <w:b/>
          <w:caps/>
          <w:color w:val="000000" w:themeColor="text1"/>
          <w:sz w:val="22"/>
          <w:szCs w:val="22"/>
        </w:rPr>
        <w:t xml:space="preserve"> in </w:t>
      </w:r>
      <w:r w:rsidRPr="00F56544">
        <w:rPr>
          <w:rFonts w:ascii="Times New Roman" w:hAnsi="Times New Roman" w:cs="Times New Roman"/>
          <w:b/>
          <w:i/>
          <w:caps/>
          <w:color w:val="000000" w:themeColor="text1"/>
          <w:sz w:val="22"/>
          <w:szCs w:val="22"/>
        </w:rPr>
        <w:t>ENVironmental Health Trust v. FCC</w:t>
      </w:r>
    </w:p>
    <w:p w:rsidR="00587CCC" w:rsidP="00A03C73" w14:paraId="48859E7D" w14:textId="77777777">
      <w:pPr>
        <w:tabs>
          <w:tab w:val="center" w:pos="4815"/>
          <w:tab w:val="left" w:pos="6890"/>
        </w:tabs>
        <w:spacing w:after="0" w:line="240" w:lineRule="auto"/>
        <w:ind w:left="360" w:right="450" w:firstLine="360"/>
        <w:rPr>
          <w:rFonts w:ascii="Times New Roman" w:hAnsi="Times New Roman" w:cs="Times New Roman"/>
          <w:b/>
          <w:color w:val="000000" w:themeColor="text1"/>
          <w:sz w:val="22"/>
          <w:szCs w:val="22"/>
        </w:rPr>
      </w:pPr>
      <w:r w:rsidRPr="00587CCC">
        <w:rPr>
          <w:rFonts w:ascii="Times New Roman" w:hAnsi="Times New Roman" w:cs="Times New Roman"/>
          <w:b/>
          <w:color w:val="000000" w:themeColor="text1"/>
          <w:sz w:val="22"/>
          <w:szCs w:val="22"/>
        </w:rPr>
        <w:tab/>
      </w:r>
    </w:p>
    <w:p w:rsidR="00982F02" w:rsidRPr="00587CCC" w:rsidP="00A03C73" w14:paraId="762D38E6" w14:textId="491DF0AF">
      <w:pPr>
        <w:tabs>
          <w:tab w:val="center" w:pos="4815"/>
          <w:tab w:val="left" w:pos="6890"/>
        </w:tabs>
        <w:spacing w:after="0" w:line="240" w:lineRule="auto"/>
        <w:ind w:left="360" w:right="450" w:firstLine="360"/>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ab/>
      </w:r>
      <w:r w:rsidRPr="00587CCC" w:rsidR="001C6A9C">
        <w:rPr>
          <w:rFonts w:ascii="Times New Roman" w:hAnsi="Times New Roman" w:cs="Times New Roman"/>
          <w:b/>
          <w:color w:val="000000" w:themeColor="text1"/>
          <w:sz w:val="22"/>
          <w:szCs w:val="22"/>
        </w:rPr>
        <w:t xml:space="preserve">ET Docket No. </w:t>
      </w:r>
      <w:r w:rsidRPr="00587CCC" w:rsidR="00685C87">
        <w:rPr>
          <w:rFonts w:ascii="Times New Roman" w:hAnsi="Times New Roman" w:cs="Times New Roman"/>
          <w:b/>
          <w:color w:val="000000" w:themeColor="text1"/>
          <w:sz w:val="22"/>
          <w:szCs w:val="22"/>
        </w:rPr>
        <w:t>1</w:t>
      </w:r>
      <w:r w:rsidRPr="00587CCC" w:rsidR="0087210B">
        <w:rPr>
          <w:rFonts w:ascii="Times New Roman" w:hAnsi="Times New Roman" w:cs="Times New Roman"/>
          <w:b/>
          <w:color w:val="000000" w:themeColor="text1"/>
          <w:sz w:val="22"/>
          <w:szCs w:val="22"/>
        </w:rPr>
        <w:t>3-84</w:t>
      </w:r>
      <w:r w:rsidRPr="00587CCC" w:rsidR="00CD163D">
        <w:rPr>
          <w:rFonts w:ascii="Times New Roman" w:hAnsi="Times New Roman" w:cs="Times New Roman"/>
          <w:b/>
          <w:color w:val="000000" w:themeColor="text1"/>
          <w:sz w:val="22"/>
          <w:szCs w:val="22"/>
        </w:rPr>
        <w:tab/>
      </w:r>
    </w:p>
    <w:p w:rsidR="00091295" w:rsidRPr="00587CCC" w:rsidP="00A03C73" w14:paraId="77F320F6" w14:textId="77777777">
      <w:pPr>
        <w:spacing w:after="0" w:line="240" w:lineRule="auto"/>
        <w:rPr>
          <w:rFonts w:ascii="Times New Roman" w:hAnsi="Times New Roman" w:cs="Times New Roman"/>
          <w:color w:val="000000" w:themeColor="text1"/>
          <w:sz w:val="22"/>
          <w:szCs w:val="22"/>
        </w:rPr>
      </w:pPr>
      <w:bookmarkStart w:id="1" w:name="TOChere"/>
    </w:p>
    <w:p w:rsidR="00091295" w:rsidRPr="00587CCC" w:rsidP="00A03C73" w14:paraId="45446BD0" w14:textId="712FFFCF">
      <w:pPr>
        <w:spacing w:after="0" w:line="240" w:lineRule="auto"/>
        <w:rPr>
          <w:rFonts w:ascii="Times New Roman" w:hAnsi="Times New Roman" w:cs="Times New Roman"/>
          <w:b/>
          <w:color w:val="000000" w:themeColor="text1"/>
          <w:sz w:val="22"/>
          <w:szCs w:val="22"/>
        </w:rPr>
      </w:pPr>
      <w:r w:rsidRPr="00587CCC">
        <w:rPr>
          <w:rFonts w:ascii="Times New Roman" w:hAnsi="Times New Roman" w:cs="Times New Roman"/>
          <w:b/>
          <w:color w:val="000000" w:themeColor="text1"/>
          <w:sz w:val="22"/>
          <w:szCs w:val="22"/>
        </w:rPr>
        <w:t>C</w:t>
      </w:r>
      <w:r w:rsidRPr="00587CCC" w:rsidR="005A520E">
        <w:rPr>
          <w:rFonts w:ascii="Times New Roman" w:hAnsi="Times New Roman" w:cs="Times New Roman"/>
          <w:b/>
          <w:color w:val="000000" w:themeColor="text1"/>
          <w:sz w:val="22"/>
          <w:szCs w:val="22"/>
        </w:rPr>
        <w:t>omments</w:t>
      </w:r>
      <w:r w:rsidRPr="00587CCC" w:rsidR="001C6A9C">
        <w:rPr>
          <w:rFonts w:ascii="Times New Roman" w:hAnsi="Times New Roman" w:cs="Times New Roman"/>
          <w:b/>
          <w:color w:val="000000" w:themeColor="text1"/>
          <w:sz w:val="22"/>
          <w:szCs w:val="22"/>
        </w:rPr>
        <w:t xml:space="preserve"> </w:t>
      </w:r>
      <w:r w:rsidRPr="00587CCC" w:rsidR="005E6CEB">
        <w:rPr>
          <w:rFonts w:ascii="Times New Roman" w:hAnsi="Times New Roman" w:cs="Times New Roman"/>
          <w:b/>
          <w:color w:val="000000" w:themeColor="text1"/>
          <w:sz w:val="22"/>
          <w:szCs w:val="22"/>
        </w:rPr>
        <w:t>due</w:t>
      </w:r>
      <w:r w:rsidRPr="00587CCC" w:rsidR="005A520E">
        <w:rPr>
          <w:rFonts w:ascii="Times New Roman" w:hAnsi="Times New Roman" w:cs="Times New Roman"/>
          <w:b/>
          <w:color w:val="000000" w:themeColor="text1"/>
          <w:sz w:val="22"/>
          <w:szCs w:val="22"/>
        </w:rPr>
        <w:t>:</w:t>
      </w:r>
      <w:r w:rsidR="00587CCC">
        <w:rPr>
          <w:rFonts w:ascii="Times New Roman" w:hAnsi="Times New Roman" w:cs="Times New Roman"/>
          <w:b/>
          <w:color w:val="000000" w:themeColor="text1"/>
          <w:sz w:val="22"/>
          <w:szCs w:val="22"/>
        </w:rPr>
        <w:t xml:space="preserve"> </w:t>
      </w:r>
      <w:r w:rsidRPr="00793959" w:rsidR="00587CCC">
        <w:rPr>
          <w:rFonts w:ascii="Times New Roman" w:hAnsi="Times New Roman" w:cs="Times New Roman"/>
          <w:color w:val="000000" w:themeColor="text1"/>
          <w:sz w:val="22"/>
          <w:szCs w:val="22"/>
        </w:rPr>
        <w:t>30</w:t>
      </w:r>
      <w:r w:rsidRPr="00793959" w:rsidR="005A520E">
        <w:rPr>
          <w:rFonts w:ascii="Times New Roman" w:hAnsi="Times New Roman" w:cs="Times New Roman"/>
          <w:color w:val="000000" w:themeColor="text1"/>
          <w:sz w:val="22"/>
          <w:szCs w:val="22"/>
        </w:rPr>
        <w:t xml:space="preserve"> </w:t>
      </w:r>
      <w:r w:rsidRPr="00793959" w:rsidR="005E6CEB">
        <w:rPr>
          <w:rFonts w:ascii="Times New Roman" w:hAnsi="Times New Roman" w:cs="Times New Roman"/>
          <w:color w:val="000000" w:themeColor="text1"/>
          <w:sz w:val="22"/>
          <w:szCs w:val="22"/>
        </w:rPr>
        <w:t>d</w:t>
      </w:r>
      <w:r w:rsidRPr="00793959" w:rsidR="005A520E">
        <w:rPr>
          <w:rFonts w:ascii="Times New Roman" w:hAnsi="Times New Roman" w:cs="Times New Roman"/>
          <w:color w:val="000000" w:themeColor="text1"/>
          <w:sz w:val="22"/>
          <w:szCs w:val="22"/>
        </w:rPr>
        <w:t xml:space="preserve">ays </w:t>
      </w:r>
      <w:r w:rsidRPr="00793959" w:rsidR="005E6CEB">
        <w:rPr>
          <w:rFonts w:ascii="Times New Roman" w:hAnsi="Times New Roman" w:cs="Times New Roman"/>
          <w:color w:val="000000" w:themeColor="text1"/>
          <w:sz w:val="22"/>
          <w:szCs w:val="22"/>
        </w:rPr>
        <w:t>a</w:t>
      </w:r>
      <w:r w:rsidRPr="00793959" w:rsidR="005A520E">
        <w:rPr>
          <w:rFonts w:ascii="Times New Roman" w:hAnsi="Times New Roman" w:cs="Times New Roman"/>
          <w:color w:val="000000" w:themeColor="text1"/>
          <w:sz w:val="22"/>
          <w:szCs w:val="22"/>
        </w:rPr>
        <w:t>fter</w:t>
      </w:r>
      <w:r w:rsidRPr="00793959" w:rsidR="005E6CEB">
        <w:rPr>
          <w:rFonts w:ascii="Times New Roman" w:hAnsi="Times New Roman" w:cs="Times New Roman"/>
          <w:color w:val="000000" w:themeColor="text1"/>
          <w:sz w:val="22"/>
          <w:szCs w:val="22"/>
        </w:rPr>
        <w:t xml:space="preserve"> publication in the</w:t>
      </w:r>
      <w:r w:rsidRPr="00793959" w:rsidR="005A520E">
        <w:rPr>
          <w:rFonts w:ascii="Times New Roman" w:hAnsi="Times New Roman" w:cs="Times New Roman"/>
          <w:color w:val="000000" w:themeColor="text1"/>
          <w:sz w:val="22"/>
          <w:szCs w:val="22"/>
        </w:rPr>
        <w:t xml:space="preserve"> Federal Register</w:t>
      </w:r>
      <w:r w:rsidRPr="00587CCC" w:rsidR="005A520E">
        <w:rPr>
          <w:rFonts w:ascii="Times New Roman" w:hAnsi="Times New Roman" w:cs="Times New Roman"/>
          <w:b/>
          <w:color w:val="000000" w:themeColor="text1"/>
          <w:sz w:val="22"/>
          <w:szCs w:val="22"/>
        </w:rPr>
        <w:t xml:space="preserve"> </w:t>
      </w:r>
    </w:p>
    <w:p w:rsidR="00587CCC" w:rsidRPr="00587CCC" w:rsidP="00A03C73" w14:paraId="7F192C82" w14:textId="5A02CB31">
      <w:pPr>
        <w:pStyle w:val="ParaNum"/>
        <w:numPr>
          <w:ilvl w:val="0"/>
          <w:numId w:val="0"/>
        </w:numPr>
        <w:spacing w:after="0" w:line="240" w:lineRule="auto"/>
        <w:rPr>
          <w:rFonts w:ascii="Times New Roman" w:hAnsi="Times New Roman" w:cs="Times New Roman"/>
          <w:color w:val="000000" w:themeColor="text1"/>
          <w:sz w:val="22"/>
          <w:szCs w:val="22"/>
        </w:rPr>
      </w:pPr>
    </w:p>
    <w:p w:rsidR="00BD0B03" w:rsidP="00A03C73" w14:paraId="37832CF8" w14:textId="6A322E94">
      <w:pPr>
        <w:autoSpaceDE w:val="0"/>
        <w:autoSpaceDN w:val="0"/>
        <w:adjustRightInd w:val="0"/>
        <w:spacing w:after="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Since the </w:t>
      </w:r>
      <w:r w:rsidR="007C2263">
        <w:rPr>
          <w:rFonts w:ascii="Times New Roman" w:hAnsi="Times New Roman" w:cs="Times New Roman"/>
          <w:color w:val="000000" w:themeColor="text1"/>
          <w:sz w:val="22"/>
          <w:szCs w:val="22"/>
        </w:rPr>
        <w:t>birth of the American</w:t>
      </w:r>
      <w:r>
        <w:rPr>
          <w:rFonts w:ascii="Times New Roman" w:hAnsi="Times New Roman" w:cs="Times New Roman"/>
          <w:color w:val="000000" w:themeColor="text1"/>
          <w:sz w:val="22"/>
          <w:szCs w:val="22"/>
        </w:rPr>
        <w:t xml:space="preserve"> wireless industry</w:t>
      </w:r>
      <w:r w:rsidR="00587CCC">
        <w:rPr>
          <w:rFonts w:ascii="Times New Roman" w:hAnsi="Times New Roman" w:cs="Times New Roman"/>
          <w:color w:val="000000" w:themeColor="text1"/>
          <w:sz w:val="22"/>
          <w:szCs w:val="22"/>
        </w:rPr>
        <w:t xml:space="preserve">, the Federal Communications Commission </w:t>
      </w:r>
      <w:r w:rsidR="008F5B0F">
        <w:rPr>
          <w:rFonts w:ascii="Times New Roman" w:hAnsi="Times New Roman" w:cs="Times New Roman"/>
          <w:color w:val="000000" w:themeColor="text1"/>
          <w:sz w:val="22"/>
          <w:szCs w:val="22"/>
        </w:rPr>
        <w:t xml:space="preserve">has been entrusted </w:t>
      </w:r>
      <w:r w:rsidR="00587CCC">
        <w:rPr>
          <w:rFonts w:ascii="Times New Roman" w:hAnsi="Times New Roman" w:cs="Times New Roman"/>
          <w:color w:val="000000" w:themeColor="text1"/>
          <w:sz w:val="22"/>
          <w:szCs w:val="22"/>
        </w:rPr>
        <w:t xml:space="preserve">to develop spectrum policies that </w:t>
      </w:r>
      <w:r w:rsidR="00D91C68">
        <w:rPr>
          <w:rFonts w:ascii="Times New Roman" w:hAnsi="Times New Roman" w:cs="Times New Roman"/>
          <w:color w:val="000000" w:themeColor="text1"/>
          <w:sz w:val="22"/>
          <w:szCs w:val="22"/>
        </w:rPr>
        <w:t>bring</w:t>
      </w:r>
      <w:r w:rsidR="00587CCC">
        <w:rPr>
          <w:rFonts w:ascii="Times New Roman" w:hAnsi="Times New Roman" w:cs="Times New Roman"/>
          <w:color w:val="000000" w:themeColor="text1"/>
          <w:sz w:val="22"/>
          <w:szCs w:val="22"/>
        </w:rPr>
        <w:t xml:space="preserve"> economic prosperity, </w:t>
      </w:r>
      <w:r w:rsidR="0052168A">
        <w:rPr>
          <w:rFonts w:ascii="Times New Roman" w:hAnsi="Times New Roman" w:cs="Times New Roman"/>
          <w:color w:val="000000" w:themeColor="text1"/>
          <w:sz w:val="22"/>
          <w:szCs w:val="22"/>
        </w:rPr>
        <w:t>unleash</w:t>
      </w:r>
      <w:r w:rsidR="00685D6D">
        <w:rPr>
          <w:rFonts w:ascii="Times New Roman" w:hAnsi="Times New Roman" w:cs="Times New Roman"/>
          <w:color w:val="000000" w:themeColor="text1"/>
          <w:sz w:val="22"/>
          <w:szCs w:val="22"/>
        </w:rPr>
        <w:t xml:space="preserve"> </w:t>
      </w:r>
      <w:r w:rsidR="008A208F">
        <w:rPr>
          <w:rFonts w:ascii="Times New Roman" w:hAnsi="Times New Roman" w:cs="Times New Roman"/>
          <w:color w:val="000000" w:themeColor="text1"/>
          <w:sz w:val="22"/>
          <w:szCs w:val="22"/>
        </w:rPr>
        <w:t xml:space="preserve">innovation and investment, </w:t>
      </w:r>
      <w:r w:rsidR="008F5B0F">
        <w:rPr>
          <w:rFonts w:ascii="Times New Roman" w:hAnsi="Times New Roman" w:cs="Times New Roman"/>
          <w:color w:val="000000" w:themeColor="text1"/>
          <w:sz w:val="22"/>
          <w:szCs w:val="22"/>
        </w:rPr>
        <w:t xml:space="preserve">and </w:t>
      </w:r>
      <w:r w:rsidR="0052168A">
        <w:rPr>
          <w:rFonts w:ascii="Times New Roman" w:hAnsi="Times New Roman" w:cs="Times New Roman"/>
          <w:color w:val="000000" w:themeColor="text1"/>
          <w:sz w:val="22"/>
          <w:szCs w:val="22"/>
        </w:rPr>
        <w:t>promote</w:t>
      </w:r>
      <w:r w:rsidR="00685D6D">
        <w:rPr>
          <w:rFonts w:ascii="Times New Roman" w:hAnsi="Times New Roman" w:cs="Times New Roman"/>
          <w:color w:val="000000" w:themeColor="text1"/>
          <w:sz w:val="22"/>
          <w:szCs w:val="22"/>
        </w:rPr>
        <w:t xml:space="preserve"> </w:t>
      </w:r>
      <w:r w:rsidR="00587CCC">
        <w:rPr>
          <w:rFonts w:ascii="Times New Roman" w:hAnsi="Times New Roman" w:cs="Times New Roman"/>
          <w:color w:val="000000" w:themeColor="text1"/>
          <w:sz w:val="22"/>
          <w:szCs w:val="22"/>
        </w:rPr>
        <w:t>national security</w:t>
      </w:r>
      <w:r w:rsidR="008F5B0F">
        <w:rPr>
          <w:rFonts w:ascii="Times New Roman" w:hAnsi="Times New Roman" w:cs="Times New Roman"/>
          <w:color w:val="000000" w:themeColor="text1"/>
          <w:sz w:val="22"/>
          <w:szCs w:val="22"/>
        </w:rPr>
        <w:t xml:space="preserve"> as well as safety of life</w:t>
      </w:r>
      <w:r w:rsidR="00587CCC">
        <w:rPr>
          <w:rFonts w:ascii="Times New Roman" w:hAnsi="Times New Roman" w:cs="Times New Roman"/>
          <w:color w:val="000000" w:themeColor="text1"/>
          <w:sz w:val="22"/>
          <w:szCs w:val="22"/>
        </w:rPr>
        <w:t>.</w:t>
      </w:r>
      <w:r w:rsidR="008A208F">
        <w:rPr>
          <w:rFonts w:ascii="Times New Roman" w:hAnsi="Times New Roman" w:cs="Times New Roman"/>
          <w:color w:val="000000" w:themeColor="text1"/>
          <w:sz w:val="22"/>
          <w:szCs w:val="22"/>
        </w:rPr>
        <w:t xml:space="preserve">  </w:t>
      </w:r>
      <w:r w:rsidR="005455C0">
        <w:rPr>
          <w:rFonts w:ascii="Times New Roman" w:hAnsi="Times New Roman" w:cs="Times New Roman"/>
          <w:color w:val="000000" w:themeColor="text1"/>
          <w:sz w:val="22"/>
          <w:szCs w:val="22"/>
        </w:rPr>
        <w:t>S</w:t>
      </w:r>
      <w:r>
        <w:rPr>
          <w:rFonts w:ascii="Times New Roman" w:hAnsi="Times New Roman" w:cs="Times New Roman"/>
          <w:color w:val="000000" w:themeColor="text1"/>
          <w:sz w:val="22"/>
          <w:szCs w:val="22"/>
        </w:rPr>
        <w:t xml:space="preserve">pectrum-based </w:t>
      </w:r>
      <w:r w:rsidR="00C644C3">
        <w:rPr>
          <w:rFonts w:ascii="Times New Roman" w:hAnsi="Times New Roman" w:cs="Times New Roman"/>
          <w:color w:val="000000" w:themeColor="text1"/>
          <w:sz w:val="22"/>
          <w:szCs w:val="22"/>
        </w:rPr>
        <w:t xml:space="preserve">connectivity </w:t>
      </w:r>
      <w:r w:rsidR="0052168A">
        <w:rPr>
          <w:rFonts w:ascii="Times New Roman" w:hAnsi="Times New Roman" w:cs="Times New Roman"/>
          <w:color w:val="000000" w:themeColor="text1"/>
          <w:sz w:val="22"/>
          <w:szCs w:val="22"/>
        </w:rPr>
        <w:t xml:space="preserve">enabled by Commission policies </w:t>
      </w:r>
      <w:r w:rsidR="00C644C3">
        <w:rPr>
          <w:rFonts w:ascii="Times New Roman" w:hAnsi="Times New Roman" w:cs="Times New Roman"/>
          <w:color w:val="000000" w:themeColor="text1"/>
          <w:sz w:val="22"/>
          <w:szCs w:val="22"/>
        </w:rPr>
        <w:t xml:space="preserve">has brought </w:t>
      </w:r>
      <w:r w:rsidRPr="00C644C3" w:rsidR="00C644C3">
        <w:rPr>
          <w:rFonts w:ascii="Times New Roman" w:hAnsi="Times New Roman" w:cs="Times New Roman"/>
          <w:color w:val="000000" w:themeColor="text1"/>
          <w:sz w:val="22"/>
          <w:szCs w:val="22"/>
        </w:rPr>
        <w:t>billions of dollars for the U.S. Treasury, create</w:t>
      </w:r>
      <w:r w:rsidR="00C644C3">
        <w:rPr>
          <w:rFonts w:ascii="Times New Roman" w:hAnsi="Times New Roman" w:cs="Times New Roman"/>
          <w:color w:val="000000" w:themeColor="text1"/>
          <w:sz w:val="22"/>
          <w:szCs w:val="22"/>
        </w:rPr>
        <w:t>d millions of</w:t>
      </w:r>
      <w:r w:rsidRPr="00C644C3" w:rsidR="00C644C3">
        <w:rPr>
          <w:rFonts w:ascii="Times New Roman" w:hAnsi="Times New Roman" w:cs="Times New Roman"/>
          <w:color w:val="000000" w:themeColor="text1"/>
          <w:sz w:val="22"/>
          <w:szCs w:val="22"/>
        </w:rPr>
        <w:t xml:space="preserve"> jobs, </w:t>
      </w:r>
      <w:r w:rsidR="00C644C3">
        <w:rPr>
          <w:rFonts w:ascii="Times New Roman" w:hAnsi="Times New Roman" w:cs="Times New Roman"/>
          <w:color w:val="000000" w:themeColor="text1"/>
          <w:sz w:val="22"/>
          <w:szCs w:val="22"/>
        </w:rPr>
        <w:t xml:space="preserve">served as an essential platform for U.S. tech innovation, </w:t>
      </w:r>
      <w:r w:rsidR="00685D6D">
        <w:rPr>
          <w:rFonts w:ascii="Times New Roman" w:hAnsi="Times New Roman" w:cs="Times New Roman"/>
          <w:color w:val="000000" w:themeColor="text1"/>
          <w:sz w:val="22"/>
          <w:szCs w:val="22"/>
        </w:rPr>
        <w:t>bolster</w:t>
      </w:r>
      <w:r w:rsidR="0052168A">
        <w:rPr>
          <w:rFonts w:ascii="Times New Roman" w:hAnsi="Times New Roman" w:cs="Times New Roman"/>
          <w:color w:val="000000" w:themeColor="text1"/>
          <w:sz w:val="22"/>
          <w:szCs w:val="22"/>
        </w:rPr>
        <w:t>ed</w:t>
      </w:r>
      <w:r w:rsidR="00685D6D">
        <w:rPr>
          <w:rFonts w:ascii="Times New Roman" w:hAnsi="Times New Roman" w:cs="Times New Roman"/>
          <w:color w:val="000000" w:themeColor="text1"/>
          <w:sz w:val="22"/>
          <w:szCs w:val="22"/>
        </w:rPr>
        <w:t xml:space="preserve"> America’s geopolitical leadership, </w:t>
      </w:r>
      <w:r w:rsidRPr="00C644C3" w:rsidR="00C644C3">
        <w:rPr>
          <w:rFonts w:ascii="Times New Roman" w:hAnsi="Times New Roman" w:cs="Times New Roman"/>
          <w:color w:val="000000" w:themeColor="text1"/>
          <w:sz w:val="22"/>
          <w:szCs w:val="22"/>
        </w:rPr>
        <w:t>and drive</w:t>
      </w:r>
      <w:r w:rsidR="00C644C3">
        <w:rPr>
          <w:rFonts w:ascii="Times New Roman" w:hAnsi="Times New Roman" w:cs="Times New Roman"/>
          <w:color w:val="000000" w:themeColor="text1"/>
          <w:sz w:val="22"/>
          <w:szCs w:val="22"/>
        </w:rPr>
        <w:t>n</w:t>
      </w:r>
      <w:r w:rsidRPr="00C644C3" w:rsidR="00C644C3">
        <w:rPr>
          <w:rFonts w:ascii="Times New Roman" w:hAnsi="Times New Roman" w:cs="Times New Roman"/>
          <w:color w:val="000000" w:themeColor="text1"/>
          <w:sz w:val="22"/>
          <w:szCs w:val="22"/>
        </w:rPr>
        <w:t xml:space="preserve"> down prices for consumers.  </w:t>
      </w:r>
      <w:r w:rsidRPr="00BD0B03">
        <w:rPr>
          <w:rFonts w:ascii="Times New Roman" w:hAnsi="Times New Roman" w:cs="Times New Roman"/>
          <w:color w:val="000000" w:themeColor="text1"/>
          <w:sz w:val="22"/>
          <w:szCs w:val="22"/>
        </w:rPr>
        <w:t>L</w:t>
      </w:r>
      <w:r w:rsidR="00C644C3">
        <w:rPr>
          <w:rFonts w:ascii="Times New Roman" w:hAnsi="Times New Roman" w:cs="Times New Roman"/>
          <w:color w:val="000000" w:themeColor="text1"/>
          <w:sz w:val="22"/>
          <w:szCs w:val="22"/>
        </w:rPr>
        <w:t xml:space="preserve">ooking ahead, </w:t>
      </w:r>
      <w:r w:rsidR="004F5F9E">
        <w:rPr>
          <w:rFonts w:ascii="Times New Roman" w:hAnsi="Times New Roman" w:cs="Times New Roman"/>
          <w:color w:val="000000" w:themeColor="text1"/>
          <w:sz w:val="22"/>
          <w:szCs w:val="22"/>
        </w:rPr>
        <w:t xml:space="preserve">the U.S. government has determined that </w:t>
      </w:r>
      <w:r w:rsidR="00C644C3">
        <w:rPr>
          <w:rFonts w:ascii="Times New Roman" w:hAnsi="Times New Roman" w:cs="Times New Roman"/>
          <w:color w:val="000000" w:themeColor="text1"/>
          <w:sz w:val="22"/>
          <w:szCs w:val="22"/>
        </w:rPr>
        <w:t>l</w:t>
      </w:r>
      <w:r w:rsidRPr="00BD0B03">
        <w:rPr>
          <w:rFonts w:ascii="Times New Roman" w:hAnsi="Times New Roman" w:cs="Times New Roman"/>
          <w:color w:val="000000" w:themeColor="text1"/>
          <w:sz w:val="22"/>
          <w:szCs w:val="22"/>
        </w:rPr>
        <w:t xml:space="preserve">eading the world in 5G and 6G will require </w:t>
      </w:r>
      <w:r w:rsidR="004F5F9E">
        <w:rPr>
          <w:rFonts w:ascii="Times New Roman" w:hAnsi="Times New Roman" w:cs="Times New Roman"/>
          <w:color w:val="000000" w:themeColor="text1"/>
          <w:sz w:val="22"/>
          <w:szCs w:val="22"/>
        </w:rPr>
        <w:t xml:space="preserve">the Commission to auction </w:t>
      </w:r>
      <w:r w:rsidRPr="00BD0B03">
        <w:rPr>
          <w:rFonts w:ascii="Times New Roman" w:hAnsi="Times New Roman" w:cs="Times New Roman"/>
          <w:color w:val="000000" w:themeColor="text1"/>
          <w:sz w:val="22"/>
          <w:szCs w:val="22"/>
        </w:rPr>
        <w:t xml:space="preserve">large amounts of </w:t>
      </w:r>
      <w:r w:rsidR="00B82266">
        <w:rPr>
          <w:rFonts w:ascii="Times New Roman" w:hAnsi="Times New Roman" w:cs="Times New Roman"/>
          <w:color w:val="000000" w:themeColor="text1"/>
          <w:sz w:val="22"/>
          <w:szCs w:val="22"/>
        </w:rPr>
        <w:t xml:space="preserve">licensed </w:t>
      </w:r>
      <w:r w:rsidRPr="00BD0B03">
        <w:rPr>
          <w:rFonts w:ascii="Times New Roman" w:hAnsi="Times New Roman" w:cs="Times New Roman"/>
          <w:color w:val="000000" w:themeColor="text1"/>
          <w:sz w:val="22"/>
          <w:szCs w:val="22"/>
        </w:rPr>
        <w:t>spectrum</w:t>
      </w:r>
      <w:r>
        <w:rPr>
          <w:rFonts w:ascii="Times New Roman" w:hAnsi="Times New Roman" w:cs="Times New Roman"/>
          <w:color w:val="000000" w:themeColor="text1"/>
          <w:sz w:val="22"/>
          <w:szCs w:val="22"/>
        </w:rPr>
        <w:t xml:space="preserve"> and</w:t>
      </w:r>
      <w:r w:rsidR="009D5784">
        <w:rPr>
          <w:rFonts w:ascii="Times New Roman" w:hAnsi="Times New Roman" w:cs="Times New Roman"/>
          <w:color w:val="000000" w:themeColor="text1"/>
          <w:sz w:val="22"/>
          <w:szCs w:val="22"/>
        </w:rPr>
        <w:t xml:space="preserve"> enable large swaths of unlicensed </w:t>
      </w:r>
      <w:r w:rsidR="00E261A6">
        <w:rPr>
          <w:rFonts w:ascii="Times New Roman" w:hAnsi="Times New Roman" w:cs="Times New Roman"/>
          <w:color w:val="000000" w:themeColor="text1"/>
          <w:sz w:val="22"/>
          <w:szCs w:val="22"/>
        </w:rPr>
        <w:t xml:space="preserve">and satellite </w:t>
      </w:r>
      <w:r w:rsidR="009D5784">
        <w:rPr>
          <w:rFonts w:ascii="Times New Roman" w:hAnsi="Times New Roman" w:cs="Times New Roman"/>
          <w:color w:val="000000" w:themeColor="text1"/>
          <w:sz w:val="22"/>
          <w:szCs w:val="22"/>
        </w:rPr>
        <w:t>spectrum</w:t>
      </w:r>
      <w:r w:rsidRPr="00BD0B03">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for next-generation services</w:t>
      </w:r>
      <w:r w:rsidRPr="00BD0B03">
        <w:rPr>
          <w:rFonts w:ascii="Times New Roman" w:hAnsi="Times New Roman" w:cs="Times New Roman"/>
          <w:color w:val="000000" w:themeColor="text1"/>
          <w:sz w:val="22"/>
          <w:szCs w:val="22"/>
        </w:rPr>
        <w:t xml:space="preserve">.  </w:t>
      </w:r>
    </w:p>
    <w:p w:rsidR="00BD0B03" w:rsidP="00A03C73" w14:paraId="2A10BEF5" w14:textId="77777777">
      <w:pPr>
        <w:autoSpaceDE w:val="0"/>
        <w:autoSpaceDN w:val="0"/>
        <w:adjustRightInd w:val="0"/>
        <w:spacing w:after="0" w:line="240" w:lineRule="auto"/>
        <w:ind w:firstLine="720"/>
        <w:rPr>
          <w:rFonts w:ascii="Times New Roman" w:hAnsi="Times New Roman" w:cs="Times New Roman"/>
          <w:color w:val="000000" w:themeColor="text1"/>
          <w:sz w:val="22"/>
          <w:szCs w:val="22"/>
        </w:rPr>
      </w:pPr>
    </w:p>
    <w:p w:rsidR="00C9739F" w:rsidP="00A03C73" w14:paraId="18609820" w14:textId="01463EBA">
      <w:pPr>
        <w:autoSpaceDE w:val="0"/>
        <w:autoSpaceDN w:val="0"/>
        <w:adjustRightInd w:val="0"/>
        <w:spacing w:after="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Communications Act establishes the Commission’s</w:t>
      </w:r>
      <w:r w:rsidR="008A208F">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primacy over </w:t>
      </w:r>
      <w:r w:rsidR="008A208F">
        <w:rPr>
          <w:rFonts w:ascii="Times New Roman" w:hAnsi="Times New Roman" w:cs="Times New Roman"/>
          <w:color w:val="000000" w:themeColor="text1"/>
          <w:sz w:val="22"/>
          <w:szCs w:val="22"/>
        </w:rPr>
        <w:t>commercial</w:t>
      </w:r>
      <w:r>
        <w:rPr>
          <w:rFonts w:ascii="Times New Roman" w:hAnsi="Times New Roman" w:cs="Times New Roman"/>
          <w:color w:val="000000" w:themeColor="text1"/>
          <w:sz w:val="22"/>
          <w:szCs w:val="22"/>
        </w:rPr>
        <w:t xml:space="preserve"> spectrum</w:t>
      </w:r>
      <w:r w:rsidR="0052168A">
        <w:rPr>
          <w:rFonts w:ascii="Times New Roman" w:hAnsi="Times New Roman" w:cs="Times New Roman"/>
          <w:color w:val="000000" w:themeColor="text1"/>
          <w:sz w:val="22"/>
          <w:szCs w:val="22"/>
        </w:rPr>
        <w:t xml:space="preserve"> policymaking</w:t>
      </w:r>
      <w:r>
        <w:rPr>
          <w:rFonts w:ascii="Times New Roman" w:hAnsi="Times New Roman" w:cs="Times New Roman"/>
          <w:color w:val="000000" w:themeColor="text1"/>
          <w:sz w:val="22"/>
          <w:szCs w:val="22"/>
        </w:rPr>
        <w:t xml:space="preserve">, and the </w:t>
      </w:r>
      <w:r w:rsidRPr="00BD0B03" w:rsidR="00BD0B03">
        <w:rPr>
          <w:rFonts w:ascii="Times New Roman" w:hAnsi="Times New Roman" w:cs="Times New Roman"/>
          <w:color w:val="000000" w:themeColor="text1"/>
          <w:sz w:val="22"/>
          <w:szCs w:val="22"/>
        </w:rPr>
        <w:t xml:space="preserve">Working Families and Tax Cut Act, signed by President Trump in July 2025, </w:t>
      </w:r>
      <w:r>
        <w:rPr>
          <w:rFonts w:ascii="Times New Roman" w:hAnsi="Times New Roman" w:cs="Times New Roman"/>
          <w:color w:val="000000" w:themeColor="text1"/>
          <w:sz w:val="22"/>
          <w:szCs w:val="22"/>
        </w:rPr>
        <w:t>directed</w:t>
      </w:r>
      <w:r w:rsidR="00BD0B03">
        <w:rPr>
          <w:rFonts w:ascii="Times New Roman" w:hAnsi="Times New Roman" w:cs="Times New Roman"/>
          <w:color w:val="000000" w:themeColor="text1"/>
          <w:sz w:val="22"/>
          <w:szCs w:val="22"/>
        </w:rPr>
        <w:t xml:space="preserve"> the Commission to repurpose and auction</w:t>
      </w:r>
      <w:r w:rsidRPr="00BD0B03" w:rsidR="00BD0B03">
        <w:rPr>
          <w:rFonts w:ascii="Times New Roman" w:hAnsi="Times New Roman" w:cs="Times New Roman"/>
          <w:color w:val="000000" w:themeColor="text1"/>
          <w:sz w:val="22"/>
          <w:szCs w:val="22"/>
        </w:rPr>
        <w:t xml:space="preserve"> </w:t>
      </w:r>
      <w:r w:rsidR="00BD0B03">
        <w:rPr>
          <w:rFonts w:ascii="Times New Roman" w:hAnsi="Times New Roman" w:cs="Times New Roman"/>
          <w:color w:val="000000" w:themeColor="text1"/>
          <w:sz w:val="22"/>
          <w:szCs w:val="22"/>
        </w:rPr>
        <w:t>800</w:t>
      </w:r>
      <w:r w:rsidRPr="00BD0B03" w:rsidR="00BD0B03">
        <w:rPr>
          <w:rFonts w:ascii="Times New Roman" w:hAnsi="Times New Roman" w:cs="Times New Roman"/>
          <w:color w:val="000000" w:themeColor="text1"/>
          <w:sz w:val="22"/>
          <w:szCs w:val="22"/>
        </w:rPr>
        <w:t xml:space="preserve"> megahertz </w:t>
      </w:r>
      <w:r w:rsidR="00BD0B03">
        <w:rPr>
          <w:rFonts w:ascii="Times New Roman" w:hAnsi="Times New Roman" w:cs="Times New Roman"/>
          <w:color w:val="000000" w:themeColor="text1"/>
          <w:sz w:val="22"/>
          <w:szCs w:val="22"/>
        </w:rPr>
        <w:t xml:space="preserve">of spectrum, including 500 megahertz of federal spectrum for “full-power commercial </w:t>
      </w:r>
      <w:r w:rsidR="009A1218">
        <w:rPr>
          <w:rFonts w:ascii="Times New Roman" w:hAnsi="Times New Roman" w:cs="Times New Roman"/>
          <w:color w:val="000000" w:themeColor="text1"/>
          <w:sz w:val="22"/>
          <w:szCs w:val="22"/>
        </w:rPr>
        <w:t xml:space="preserve">licensed </w:t>
      </w:r>
      <w:r w:rsidR="00BD0B03">
        <w:rPr>
          <w:rFonts w:ascii="Times New Roman" w:hAnsi="Times New Roman" w:cs="Times New Roman"/>
          <w:color w:val="000000" w:themeColor="text1"/>
          <w:sz w:val="22"/>
          <w:szCs w:val="22"/>
        </w:rPr>
        <w:t>use</w:t>
      </w:r>
      <w:r w:rsidR="004A000D">
        <w:rPr>
          <w:rFonts w:ascii="Times New Roman" w:hAnsi="Times New Roman" w:cs="Times New Roman"/>
          <w:color w:val="000000" w:themeColor="text1"/>
          <w:sz w:val="22"/>
          <w:szCs w:val="22"/>
        </w:rPr>
        <w:t xml:space="preserve"> cases[</w:t>
      </w:r>
      <w:r w:rsidR="00BD0B03">
        <w:rPr>
          <w:rFonts w:ascii="Times New Roman" w:hAnsi="Times New Roman" w:cs="Times New Roman"/>
          <w:color w:val="000000" w:themeColor="text1"/>
          <w:sz w:val="22"/>
          <w:szCs w:val="22"/>
        </w:rPr>
        <w:t>.</w:t>
      </w:r>
      <w:r w:rsidR="004A000D">
        <w:rPr>
          <w:rFonts w:ascii="Times New Roman" w:hAnsi="Times New Roman" w:cs="Times New Roman"/>
          <w:color w:val="000000" w:themeColor="text1"/>
          <w:sz w:val="22"/>
          <w:szCs w:val="22"/>
        </w:rPr>
        <w:t>]</w:t>
      </w:r>
      <w:r w:rsidR="00BD0B03">
        <w:rPr>
          <w:rFonts w:ascii="Times New Roman" w:hAnsi="Times New Roman" w:cs="Times New Roman"/>
          <w:color w:val="000000" w:themeColor="text1"/>
          <w:sz w:val="22"/>
          <w:szCs w:val="22"/>
        </w:rPr>
        <w:t>”</w:t>
      </w:r>
      <w:r>
        <w:rPr>
          <w:rStyle w:val="FootnoteReference"/>
          <w:rFonts w:cs="Times New Roman"/>
          <w:szCs w:val="22"/>
        </w:rPr>
        <w:footnoteReference w:id="3"/>
      </w:r>
      <w:r w:rsidR="00BD0B03">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Along the way, courts have repeatedly affirmed that when the Commission </w:t>
      </w:r>
      <w:r w:rsidRPr="00C644C3">
        <w:rPr>
          <w:rFonts w:ascii="Times New Roman" w:hAnsi="Times New Roman" w:cs="Times New Roman"/>
          <w:color w:val="000000" w:themeColor="text1"/>
          <w:sz w:val="22"/>
          <w:szCs w:val="22"/>
        </w:rPr>
        <w:t>“foster[s] innovative methods of exploiting the spectrum</w:t>
      </w:r>
      <w:r>
        <w:rPr>
          <w:rFonts w:ascii="Times New Roman" w:hAnsi="Times New Roman" w:cs="Times New Roman"/>
          <w:color w:val="000000" w:themeColor="text1"/>
          <w:sz w:val="22"/>
          <w:szCs w:val="22"/>
        </w:rPr>
        <w:t>” in its role “as a policymaker</w:t>
      </w:r>
      <w:r w:rsidR="004928F9">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it</w:t>
      </w:r>
      <w:r w:rsidRPr="00C644C3">
        <w:rPr>
          <w:rFonts w:ascii="Times New Roman" w:hAnsi="Times New Roman" w:cs="Times New Roman"/>
          <w:color w:val="000000" w:themeColor="text1"/>
          <w:sz w:val="22"/>
          <w:szCs w:val="22"/>
        </w:rPr>
        <w:t xml:space="preserve"> is </w:t>
      </w:r>
      <w:r>
        <w:rPr>
          <w:rFonts w:ascii="Times New Roman" w:hAnsi="Times New Roman" w:cs="Times New Roman"/>
          <w:color w:val="000000" w:themeColor="text1"/>
          <w:sz w:val="22"/>
          <w:szCs w:val="22"/>
        </w:rPr>
        <w:t>“</w:t>
      </w:r>
      <w:r w:rsidRPr="00C644C3">
        <w:rPr>
          <w:rFonts w:ascii="Times New Roman" w:hAnsi="Times New Roman" w:cs="Times New Roman"/>
          <w:color w:val="000000" w:themeColor="text1"/>
          <w:sz w:val="22"/>
          <w:szCs w:val="22"/>
        </w:rPr>
        <w:t>accorded the greatest deference by a reviewing court.”</w:t>
      </w:r>
      <w:r>
        <w:rPr>
          <w:rStyle w:val="FootnoteReference"/>
          <w:rFonts w:cs="Times New Roman"/>
          <w:szCs w:val="22"/>
        </w:rPr>
        <w:footnoteReference w:id="4"/>
      </w:r>
      <w:r w:rsidR="008A208F">
        <w:rPr>
          <w:rFonts w:ascii="Times New Roman" w:hAnsi="Times New Roman" w:cs="Times New Roman"/>
          <w:color w:val="000000" w:themeColor="text1"/>
          <w:sz w:val="22"/>
          <w:szCs w:val="22"/>
        </w:rPr>
        <w:t xml:space="preserve">  </w:t>
      </w:r>
    </w:p>
    <w:p w:rsidR="007F6718" w:rsidP="00A03C73" w14:paraId="22120B5F" w14:textId="77777777">
      <w:pPr>
        <w:autoSpaceDE w:val="0"/>
        <w:autoSpaceDN w:val="0"/>
        <w:adjustRightInd w:val="0"/>
        <w:spacing w:after="0" w:line="240" w:lineRule="auto"/>
        <w:ind w:firstLine="720"/>
        <w:rPr>
          <w:rFonts w:ascii="Times New Roman" w:hAnsi="Times New Roman" w:cs="Times New Roman"/>
          <w:color w:val="000000" w:themeColor="text1"/>
          <w:sz w:val="22"/>
          <w:szCs w:val="22"/>
        </w:rPr>
      </w:pPr>
    </w:p>
    <w:p w:rsidR="007F6718" w:rsidP="00A03C73" w14:paraId="40177406" w14:textId="05C4FD75">
      <w:pPr>
        <w:autoSpaceDE w:val="0"/>
        <w:autoSpaceDN w:val="0"/>
        <w:adjustRightInd w:val="0"/>
        <w:spacing w:after="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As an essential component of this policymaking function, </w:t>
      </w:r>
      <w:r w:rsidRPr="00587CCC">
        <w:rPr>
          <w:rFonts w:ascii="Times New Roman" w:hAnsi="Times New Roman" w:cs="Times New Roman"/>
          <w:color w:val="000000" w:themeColor="text1"/>
          <w:sz w:val="22"/>
          <w:szCs w:val="22"/>
        </w:rPr>
        <w:t xml:space="preserve">Congress </w:t>
      </w:r>
      <w:r>
        <w:rPr>
          <w:rFonts w:ascii="Times New Roman" w:hAnsi="Times New Roman" w:cs="Times New Roman"/>
          <w:color w:val="000000" w:themeColor="text1"/>
          <w:sz w:val="22"/>
          <w:szCs w:val="22"/>
        </w:rPr>
        <w:t>entrusted</w:t>
      </w:r>
      <w:r w:rsidRPr="00587CCC">
        <w:rPr>
          <w:rFonts w:ascii="Times New Roman" w:hAnsi="Times New Roman" w:cs="Times New Roman"/>
          <w:color w:val="000000" w:themeColor="text1"/>
          <w:sz w:val="22"/>
          <w:szCs w:val="22"/>
        </w:rPr>
        <w:t xml:space="preserve"> the Commission</w:t>
      </w:r>
      <w:r>
        <w:rPr>
          <w:rFonts w:ascii="Times New Roman" w:hAnsi="Times New Roman" w:cs="Times New Roman"/>
          <w:color w:val="000000" w:themeColor="text1"/>
          <w:sz w:val="22"/>
          <w:szCs w:val="22"/>
        </w:rPr>
        <w:t xml:space="preserve"> in 1996</w:t>
      </w:r>
      <w:r w:rsidRPr="00587CCC">
        <w:rPr>
          <w:rFonts w:ascii="Times New Roman" w:hAnsi="Times New Roman" w:cs="Times New Roman"/>
          <w:color w:val="000000" w:themeColor="text1"/>
          <w:sz w:val="22"/>
          <w:szCs w:val="22"/>
        </w:rPr>
        <w:t xml:space="preserve"> to adopt rules regarding human exposure to RF energy emitted by Commission-regulated transmitters and facilities.</w:t>
      </w:r>
      <w:r>
        <w:rPr>
          <w:rStyle w:val="FootnoteReference"/>
          <w:rFonts w:cs="Times New Roman"/>
        </w:rPr>
        <w:footnoteReference w:id="5"/>
      </w:r>
      <w:r>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The</w:t>
      </w:r>
      <w:r w:rsidRPr="00587CCC">
        <w:rPr>
          <w:rFonts w:ascii="Times New Roman" w:hAnsi="Times New Roman" w:cs="Times New Roman"/>
          <w:color w:val="000000" w:themeColor="text1"/>
          <w:sz w:val="22"/>
          <w:szCs w:val="22"/>
        </w:rPr>
        <w:t xml:space="preserve"> Commission</w:t>
      </w:r>
      <w:r>
        <w:rPr>
          <w:rFonts w:ascii="Times New Roman" w:hAnsi="Times New Roman" w:cs="Times New Roman"/>
          <w:color w:val="000000" w:themeColor="text1"/>
          <w:sz w:val="22"/>
          <w:szCs w:val="22"/>
        </w:rPr>
        <w:t>’s RF exposure rules</w:t>
      </w:r>
      <w:r>
        <w:rPr>
          <w:rFonts w:ascii="Times New Roman" w:hAnsi="Times New Roman" w:cs="Times New Roman"/>
          <w:color w:val="000000" w:themeColor="text1"/>
          <w:sz w:val="22"/>
          <w:szCs w:val="22"/>
          <w:vertAlign w:val="superscript"/>
        </w:rPr>
        <w:footnoteReference w:id="6"/>
      </w:r>
      <w:r w:rsidRPr="00587CCC">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are continuously evaluated and </w:t>
      </w:r>
      <w:r w:rsidRPr="00587CCC">
        <w:rPr>
          <w:rFonts w:ascii="Times New Roman" w:hAnsi="Times New Roman" w:cs="Times New Roman"/>
          <w:color w:val="000000" w:themeColor="text1"/>
          <w:sz w:val="22"/>
          <w:szCs w:val="22"/>
        </w:rPr>
        <w:t xml:space="preserve">based </w:t>
      </w:r>
      <w:r w:rsidRPr="00587CCC">
        <w:rPr>
          <w:rFonts w:ascii="Times New Roman" w:hAnsi="Times New Roman" w:cs="Times New Roman"/>
          <w:color w:val="000000" w:themeColor="text1"/>
          <w:sz w:val="22"/>
          <w:szCs w:val="22"/>
        </w:rPr>
        <w:t xml:space="preserve">on </w:t>
      </w:r>
      <w:r>
        <w:rPr>
          <w:rFonts w:ascii="Times New Roman" w:hAnsi="Times New Roman" w:cs="Times New Roman"/>
          <w:color w:val="000000" w:themeColor="text1"/>
          <w:sz w:val="22"/>
          <w:szCs w:val="22"/>
        </w:rPr>
        <w:t xml:space="preserve">gold-standard research from entities with </w:t>
      </w:r>
      <w:r w:rsidRPr="00587CCC">
        <w:rPr>
          <w:rFonts w:ascii="Times New Roman" w:hAnsi="Times New Roman" w:cs="Times New Roman"/>
          <w:color w:val="000000" w:themeColor="text1"/>
          <w:sz w:val="22"/>
          <w:szCs w:val="22"/>
        </w:rPr>
        <w:t>specialized expertise in health and safety issues</w:t>
      </w:r>
      <w:r>
        <w:rPr>
          <w:rFonts w:ascii="Times New Roman" w:hAnsi="Times New Roman" w:cs="Times New Roman"/>
          <w:color w:val="000000" w:themeColor="text1"/>
          <w:sz w:val="22"/>
          <w:szCs w:val="22"/>
        </w:rPr>
        <w:t>, including</w:t>
      </w:r>
      <w:r w:rsidRPr="00587CCC">
        <w:rPr>
          <w:rFonts w:ascii="Times New Roman" w:hAnsi="Times New Roman" w:cs="Times New Roman"/>
          <w:color w:val="000000" w:themeColor="text1"/>
          <w:sz w:val="22"/>
          <w:szCs w:val="22"/>
        </w:rPr>
        <w:t xml:space="preserve"> the National Council on Radiation Protection and Measurements (NCRP), a congressionally chartered organization, as well as guidelines promulgated by the American National Standards Institute and the Institute of Electrical and Electronics Engineers (IEEE), internationally recognized standard-setting organizations.</w:t>
      </w:r>
      <w:r>
        <w:rPr>
          <w:rFonts w:ascii="Times New Roman" w:hAnsi="Times New Roman" w:cs="Times New Roman"/>
          <w:color w:val="000000" w:themeColor="text1"/>
          <w:sz w:val="22"/>
          <w:szCs w:val="22"/>
          <w:vertAlign w:val="superscript"/>
        </w:rPr>
        <w:footnoteReference w:id="7"/>
      </w:r>
      <w:r w:rsidRPr="00587CCC">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Court</w:t>
      </w:r>
      <w:r w:rsidRPr="1BC6ECF6" w:rsidR="2AA9CDB7">
        <w:rPr>
          <w:rFonts w:ascii="Times New Roman" w:hAnsi="Times New Roman" w:cs="Times New Roman"/>
          <w:color w:val="000000" w:themeColor="text1"/>
          <w:sz w:val="22"/>
          <w:szCs w:val="22"/>
        </w:rPr>
        <w:t>s</w:t>
      </w:r>
      <w:r w:rsidRPr="1BC6ECF6">
        <w:rPr>
          <w:rFonts w:ascii="Times New Roman" w:hAnsi="Times New Roman" w:cs="Times New Roman"/>
          <w:color w:val="000000" w:themeColor="text1"/>
          <w:sz w:val="22"/>
          <w:szCs w:val="22"/>
        </w:rPr>
        <w:t xml:space="preserve"> have consistently upheld the reasonableness of the Commission’s RF human-safety requirements when challenged in 2000,</w:t>
      </w:r>
      <w:r>
        <w:rPr>
          <w:rStyle w:val="FootnoteReference"/>
          <w:rFonts w:cs="Times New Roman"/>
        </w:rPr>
        <w:footnoteReference w:id="8"/>
      </w:r>
      <w:r w:rsidRPr="1BC6ECF6">
        <w:rPr>
          <w:rFonts w:ascii="Times New Roman" w:hAnsi="Times New Roman" w:cs="Times New Roman"/>
          <w:color w:val="000000" w:themeColor="text1"/>
          <w:sz w:val="22"/>
          <w:szCs w:val="22"/>
        </w:rPr>
        <w:t xml:space="preserve"> 2004,</w:t>
      </w:r>
      <w:r>
        <w:rPr>
          <w:rStyle w:val="FootnoteReference"/>
          <w:rFonts w:cs="Times New Roman"/>
        </w:rPr>
        <w:footnoteReference w:id="9"/>
      </w:r>
      <w:r w:rsidRPr="1BC6ECF6">
        <w:rPr>
          <w:rFonts w:ascii="Times New Roman" w:hAnsi="Times New Roman" w:cs="Times New Roman"/>
          <w:color w:val="000000" w:themeColor="text1"/>
          <w:sz w:val="22"/>
          <w:szCs w:val="22"/>
        </w:rPr>
        <w:t xml:space="preserve"> and 2021.</w:t>
      </w:r>
      <w:r>
        <w:rPr>
          <w:rStyle w:val="FootnoteReference"/>
          <w:rFonts w:cs="Times New Roman"/>
        </w:rPr>
        <w:footnoteReference w:id="10"/>
      </w:r>
      <w:r w:rsidRPr="1BC6ECF6">
        <w:rPr>
          <w:rFonts w:ascii="Times New Roman" w:hAnsi="Times New Roman" w:cs="Times New Roman"/>
          <w:color w:val="000000" w:themeColor="text1"/>
          <w:sz w:val="22"/>
          <w:szCs w:val="22"/>
        </w:rPr>
        <w:t xml:space="preserve">    </w:t>
      </w:r>
    </w:p>
    <w:p w:rsidR="007F6718" w:rsidP="00A03C73" w14:paraId="008D0C06" w14:textId="77777777">
      <w:pPr>
        <w:autoSpaceDE w:val="0"/>
        <w:autoSpaceDN w:val="0"/>
        <w:adjustRightInd w:val="0"/>
        <w:spacing w:after="0" w:line="240" w:lineRule="auto"/>
        <w:ind w:firstLine="720"/>
        <w:rPr>
          <w:rFonts w:ascii="Times New Roman" w:hAnsi="Times New Roman" w:cs="Times New Roman"/>
          <w:color w:val="000000" w:themeColor="text1"/>
          <w:sz w:val="22"/>
          <w:szCs w:val="22"/>
        </w:rPr>
      </w:pPr>
    </w:p>
    <w:p w:rsidR="00FC0BAD" w:rsidRPr="00FC0BAD" w:rsidP="00A03C73" w14:paraId="53FE4715" w14:textId="45E2C92A">
      <w:pPr>
        <w:autoSpaceDE w:val="0"/>
        <w:autoSpaceDN w:val="0"/>
        <w:adjustRightInd w:val="0"/>
        <w:spacing w:after="0" w:line="240" w:lineRule="auto"/>
        <w:ind w:firstLine="720"/>
        <w:rPr>
          <w:rFonts w:ascii="Times New Roman" w:hAnsi="Times New Roman" w:cs="Times New Roman"/>
          <w:sz w:val="22"/>
          <w:szCs w:val="22"/>
        </w:rPr>
      </w:pPr>
      <w:r w:rsidRPr="00FC0BAD">
        <w:rPr>
          <w:rFonts w:ascii="Times New Roman" w:hAnsi="Times New Roman" w:cs="Times New Roman"/>
          <w:color w:val="000000" w:themeColor="text1"/>
          <w:sz w:val="22"/>
          <w:szCs w:val="22"/>
        </w:rPr>
        <w:t>Most recently</w:t>
      </w:r>
      <w:r w:rsidR="002452CF">
        <w:rPr>
          <w:rFonts w:ascii="Times New Roman" w:hAnsi="Times New Roman" w:cs="Times New Roman"/>
          <w:color w:val="000000" w:themeColor="text1"/>
          <w:sz w:val="22"/>
          <w:szCs w:val="22"/>
        </w:rPr>
        <w:t>,</w:t>
      </w:r>
      <w:r w:rsidRPr="00FC0BAD">
        <w:rPr>
          <w:rFonts w:ascii="Times New Roman" w:hAnsi="Times New Roman" w:cs="Times New Roman"/>
          <w:color w:val="000000" w:themeColor="text1"/>
          <w:sz w:val="22"/>
          <w:szCs w:val="22"/>
        </w:rPr>
        <w:t xml:space="preserve"> </w:t>
      </w:r>
      <w:r w:rsidRPr="00FC0BAD" w:rsidR="007F6718">
        <w:rPr>
          <w:rFonts w:ascii="Times New Roman" w:hAnsi="Times New Roman" w:cs="Times New Roman"/>
          <w:color w:val="000000" w:themeColor="text1"/>
          <w:sz w:val="22"/>
          <w:szCs w:val="22"/>
        </w:rPr>
        <w:t xml:space="preserve">the Commission terminated a </w:t>
      </w:r>
      <w:r w:rsidR="00E814B5">
        <w:rPr>
          <w:rFonts w:ascii="Times New Roman" w:hAnsi="Times New Roman" w:cs="Times New Roman"/>
          <w:color w:val="000000" w:themeColor="text1"/>
          <w:sz w:val="22"/>
          <w:szCs w:val="22"/>
        </w:rPr>
        <w:t xml:space="preserve">nearly </w:t>
      </w:r>
      <w:r w:rsidRPr="00FC0BAD" w:rsidR="007F6718">
        <w:rPr>
          <w:rFonts w:ascii="Times New Roman" w:hAnsi="Times New Roman" w:cs="Times New Roman"/>
          <w:color w:val="000000" w:themeColor="text1"/>
          <w:sz w:val="22"/>
          <w:szCs w:val="22"/>
        </w:rPr>
        <w:t xml:space="preserve">six-year inquiry </w:t>
      </w:r>
      <w:r w:rsidR="00AD6487">
        <w:rPr>
          <w:rFonts w:ascii="Times New Roman" w:hAnsi="Times New Roman" w:cs="Times New Roman"/>
          <w:color w:val="000000" w:themeColor="text1"/>
          <w:sz w:val="22"/>
          <w:szCs w:val="22"/>
        </w:rPr>
        <w:t xml:space="preserve">in </w:t>
      </w:r>
      <w:r w:rsidR="00E814B5">
        <w:rPr>
          <w:rFonts w:ascii="Times New Roman" w:hAnsi="Times New Roman" w:cs="Times New Roman"/>
          <w:color w:val="000000" w:themeColor="text1"/>
          <w:sz w:val="22"/>
          <w:szCs w:val="22"/>
        </w:rPr>
        <w:t xml:space="preserve">December </w:t>
      </w:r>
      <w:r w:rsidR="00AD6487">
        <w:rPr>
          <w:rFonts w:ascii="Times New Roman" w:hAnsi="Times New Roman" w:cs="Times New Roman"/>
          <w:color w:val="000000" w:themeColor="text1"/>
          <w:sz w:val="22"/>
          <w:szCs w:val="22"/>
        </w:rPr>
        <w:t>2019</w:t>
      </w:r>
      <w:r w:rsidR="00E814B5">
        <w:rPr>
          <w:rFonts w:ascii="Times New Roman" w:hAnsi="Times New Roman" w:cs="Times New Roman"/>
          <w:color w:val="000000" w:themeColor="text1"/>
          <w:sz w:val="22"/>
          <w:szCs w:val="22"/>
        </w:rPr>
        <w:t xml:space="preserve">, which </w:t>
      </w:r>
      <w:r w:rsidRPr="00FC0BAD" w:rsidR="007F6718">
        <w:rPr>
          <w:rFonts w:ascii="Times New Roman" w:hAnsi="Times New Roman" w:cs="Times New Roman"/>
          <w:color w:val="000000" w:themeColor="text1"/>
          <w:sz w:val="22"/>
          <w:szCs w:val="22"/>
        </w:rPr>
        <w:t>had sought comment on whether the agency’s RF safety rules should be reevaluated.</w:t>
      </w:r>
      <w:r>
        <w:rPr>
          <w:rStyle w:val="FootnoteReference"/>
          <w:rFonts w:cs="Times New Roman"/>
          <w:color w:val="000000" w:themeColor="text1"/>
          <w:szCs w:val="22"/>
        </w:rPr>
        <w:footnoteReference w:id="11"/>
      </w:r>
      <w:r w:rsidRPr="00FC0BAD" w:rsidR="00FF2B6A">
        <w:rPr>
          <w:rFonts w:ascii="Times New Roman" w:hAnsi="Times New Roman" w:cs="Times New Roman"/>
          <w:color w:val="000000" w:themeColor="text1"/>
          <w:sz w:val="22"/>
          <w:szCs w:val="22"/>
        </w:rPr>
        <w:t xml:space="preserve">  </w:t>
      </w:r>
      <w:r w:rsidRPr="00FC0BAD" w:rsidR="007F6718">
        <w:rPr>
          <w:rFonts w:ascii="Times New Roman" w:hAnsi="Times New Roman" w:cs="Times New Roman"/>
          <w:color w:val="000000" w:themeColor="text1"/>
          <w:sz w:val="22"/>
          <w:szCs w:val="22"/>
        </w:rPr>
        <w:t xml:space="preserve"> </w:t>
      </w:r>
      <w:r w:rsidR="008F3A65">
        <w:rPr>
          <w:rFonts w:ascii="Times New Roman" w:hAnsi="Times New Roman" w:cs="Times New Roman"/>
          <w:color w:val="000000" w:themeColor="text1"/>
          <w:sz w:val="22"/>
          <w:szCs w:val="22"/>
        </w:rPr>
        <w:t>Upon consideration of nearly 1,000 submissions, the</w:t>
      </w:r>
      <w:r w:rsidRPr="00FC0BAD" w:rsidR="007F6718">
        <w:rPr>
          <w:rFonts w:ascii="Times New Roman" w:hAnsi="Times New Roman" w:cs="Times New Roman"/>
          <w:color w:val="000000" w:themeColor="text1"/>
          <w:sz w:val="22"/>
          <w:szCs w:val="22"/>
        </w:rPr>
        <w:t xml:space="preserve"> Commission</w:t>
      </w:r>
      <w:r w:rsidRPr="00FC0BAD" w:rsidR="0028585C">
        <w:rPr>
          <w:rFonts w:ascii="Times New Roman" w:hAnsi="Times New Roman" w:cs="Times New Roman"/>
          <w:color w:val="000000" w:themeColor="text1"/>
          <w:sz w:val="22"/>
          <w:szCs w:val="22"/>
        </w:rPr>
        <w:t xml:space="preserve"> </w:t>
      </w:r>
      <w:r w:rsidRPr="00FC0BAD" w:rsidR="007A2B86">
        <w:rPr>
          <w:rFonts w:ascii="Times New Roman" w:hAnsi="Times New Roman" w:cs="Times New Roman"/>
          <w:color w:val="000000" w:themeColor="text1"/>
          <w:sz w:val="22"/>
          <w:szCs w:val="22"/>
        </w:rPr>
        <w:t>“</w:t>
      </w:r>
      <w:r w:rsidRPr="00FC0BAD" w:rsidR="00E8591E">
        <w:rPr>
          <w:rFonts w:ascii="Times New Roman" w:hAnsi="Times New Roman" w:cs="Times New Roman"/>
          <w:color w:val="000000" w:themeColor="text1"/>
          <w:sz w:val="22"/>
          <w:szCs w:val="22"/>
        </w:rPr>
        <w:t>conclude</w:t>
      </w:r>
      <w:r w:rsidRPr="00FC0BAD" w:rsidR="007A2B86">
        <w:rPr>
          <w:rFonts w:ascii="Times New Roman" w:hAnsi="Times New Roman" w:cs="Times New Roman"/>
          <w:color w:val="000000" w:themeColor="text1"/>
          <w:sz w:val="22"/>
          <w:szCs w:val="22"/>
        </w:rPr>
        <w:t>[</w:t>
      </w:r>
      <w:r w:rsidRPr="00FC0BAD" w:rsidR="00E8591E">
        <w:rPr>
          <w:rFonts w:ascii="Times New Roman" w:hAnsi="Times New Roman" w:cs="Times New Roman"/>
          <w:color w:val="000000" w:themeColor="text1"/>
          <w:sz w:val="22"/>
          <w:szCs w:val="22"/>
        </w:rPr>
        <w:t>d</w:t>
      </w:r>
      <w:r w:rsidRPr="00FC0BAD" w:rsidR="007A2B86">
        <w:rPr>
          <w:rFonts w:ascii="Times New Roman" w:hAnsi="Times New Roman" w:cs="Times New Roman"/>
          <w:color w:val="000000" w:themeColor="text1"/>
          <w:sz w:val="22"/>
          <w:szCs w:val="22"/>
        </w:rPr>
        <w:t xml:space="preserve">] </w:t>
      </w:r>
      <w:r w:rsidRPr="00FC0BAD" w:rsidR="0097716C">
        <w:rPr>
          <w:rFonts w:ascii="Times New Roman" w:hAnsi="Times New Roman" w:cs="Times New Roman"/>
          <w:color w:val="000000" w:themeColor="text1"/>
          <w:sz w:val="22"/>
          <w:szCs w:val="22"/>
        </w:rPr>
        <w:t>that the best available evidence . . . supports maintaining [its] current RF exposure standards.</w:t>
      </w:r>
      <w:r w:rsidRPr="00FC0BAD" w:rsidR="002C3E5E">
        <w:rPr>
          <w:rFonts w:ascii="Times New Roman" w:hAnsi="Times New Roman" w:cs="Times New Roman"/>
          <w:color w:val="000000" w:themeColor="text1"/>
          <w:sz w:val="22"/>
          <w:szCs w:val="22"/>
        </w:rPr>
        <w:t>”</w:t>
      </w:r>
      <w:r>
        <w:rPr>
          <w:rStyle w:val="FootnoteReference"/>
          <w:rFonts w:cs="Times New Roman"/>
          <w:color w:val="000000" w:themeColor="text1"/>
          <w:szCs w:val="22"/>
        </w:rPr>
        <w:footnoteReference w:id="12"/>
      </w:r>
      <w:r w:rsidRPr="00FC0BAD" w:rsidR="00920CB5">
        <w:rPr>
          <w:rFonts w:ascii="Times New Roman" w:hAnsi="Times New Roman" w:cs="Times New Roman"/>
          <w:color w:val="000000" w:themeColor="text1"/>
          <w:sz w:val="22"/>
          <w:szCs w:val="22"/>
        </w:rPr>
        <w:t xml:space="preserve">  </w:t>
      </w:r>
      <w:r w:rsidRPr="00FC0BAD" w:rsidR="007F6718">
        <w:rPr>
          <w:rFonts w:ascii="Times New Roman" w:hAnsi="Times New Roman" w:cs="Times New Roman"/>
          <w:color w:val="000000" w:themeColor="text1"/>
          <w:sz w:val="22"/>
          <w:szCs w:val="22"/>
        </w:rPr>
        <w:t xml:space="preserve"> The</w:t>
      </w:r>
      <w:r w:rsidRPr="00FC0BAD" w:rsidR="00363029">
        <w:rPr>
          <w:rFonts w:ascii="Times New Roman" w:hAnsi="Times New Roman" w:cs="Times New Roman"/>
          <w:color w:val="000000" w:themeColor="text1"/>
          <w:sz w:val="22"/>
          <w:szCs w:val="22"/>
        </w:rPr>
        <w:t xml:space="preserve"> </w:t>
      </w:r>
      <w:r w:rsidRPr="00FC0BAD" w:rsidR="007F6718">
        <w:rPr>
          <w:rFonts w:ascii="Times New Roman" w:hAnsi="Times New Roman" w:cs="Times New Roman"/>
          <w:color w:val="000000" w:themeColor="text1"/>
          <w:sz w:val="22"/>
          <w:szCs w:val="22"/>
        </w:rPr>
        <w:t>D.C. Circuit</w:t>
      </w:r>
      <w:r w:rsidRPr="00FC0BAD">
        <w:rPr>
          <w:rFonts w:ascii="Times New Roman" w:hAnsi="Times New Roman" w:cs="Times New Roman"/>
          <w:color w:val="000000" w:themeColor="text1"/>
          <w:sz w:val="22"/>
          <w:szCs w:val="22"/>
        </w:rPr>
        <w:t xml:space="preserve">’s 2021 decision in </w:t>
      </w:r>
      <w:r w:rsidRPr="00FC0BAD">
        <w:rPr>
          <w:rFonts w:ascii="Times New Roman" w:hAnsi="Times New Roman" w:cs="Times New Roman"/>
          <w:i/>
          <w:color w:val="000000" w:themeColor="text1"/>
          <w:sz w:val="22"/>
          <w:szCs w:val="22"/>
        </w:rPr>
        <w:t>Environmental Health Trust v. FCC</w:t>
      </w:r>
      <w:r w:rsidRPr="00FC0BAD">
        <w:rPr>
          <w:rFonts w:ascii="Times New Roman" w:hAnsi="Times New Roman" w:cs="Times New Roman"/>
          <w:color w:val="000000" w:themeColor="text1"/>
          <w:sz w:val="22"/>
          <w:szCs w:val="22"/>
        </w:rPr>
        <w:t xml:space="preserve"> </w:t>
      </w:r>
      <w:r w:rsidRPr="00FC0BAD" w:rsidR="007F6718">
        <w:rPr>
          <w:rFonts w:ascii="Times New Roman" w:hAnsi="Times New Roman" w:cs="Times New Roman"/>
          <w:color w:val="000000" w:themeColor="text1"/>
          <w:sz w:val="22"/>
          <w:szCs w:val="22"/>
        </w:rPr>
        <w:t xml:space="preserve">upheld the majority of the Commission’s </w:t>
      </w:r>
      <w:r w:rsidRPr="00FC0BAD">
        <w:rPr>
          <w:rFonts w:ascii="Times New Roman" w:hAnsi="Times New Roman" w:cs="Times New Roman"/>
          <w:color w:val="000000" w:themeColor="text1"/>
          <w:sz w:val="22"/>
          <w:szCs w:val="22"/>
        </w:rPr>
        <w:t>findings</w:t>
      </w:r>
      <w:r w:rsidRPr="00FC0BAD" w:rsidR="007F6718">
        <w:rPr>
          <w:rFonts w:ascii="Times New Roman" w:hAnsi="Times New Roman" w:cs="Times New Roman"/>
          <w:color w:val="000000" w:themeColor="text1"/>
          <w:sz w:val="22"/>
          <w:szCs w:val="22"/>
        </w:rPr>
        <w:t xml:space="preserve">, including its </w:t>
      </w:r>
      <w:r w:rsidRPr="00FC0BAD" w:rsidR="00071356">
        <w:rPr>
          <w:rFonts w:ascii="Times New Roman" w:hAnsi="Times New Roman" w:cs="Times New Roman"/>
          <w:color w:val="000000" w:themeColor="text1"/>
          <w:sz w:val="22"/>
          <w:szCs w:val="22"/>
        </w:rPr>
        <w:t>determination that RF exposure at levels below the current limits does no</w:t>
      </w:r>
      <w:r w:rsidRPr="00FC0BAD" w:rsidR="008A72E3">
        <w:rPr>
          <w:rFonts w:ascii="Times New Roman" w:hAnsi="Times New Roman" w:cs="Times New Roman"/>
          <w:color w:val="000000" w:themeColor="text1"/>
          <w:sz w:val="22"/>
          <w:szCs w:val="22"/>
        </w:rPr>
        <w:t>t</w:t>
      </w:r>
      <w:r w:rsidRPr="00FC0BAD" w:rsidR="00071356">
        <w:rPr>
          <w:rFonts w:ascii="Times New Roman" w:hAnsi="Times New Roman" w:cs="Times New Roman"/>
          <w:color w:val="000000" w:themeColor="text1"/>
          <w:sz w:val="22"/>
          <w:szCs w:val="22"/>
        </w:rPr>
        <w:t xml:space="preserve"> cause cancer</w:t>
      </w:r>
      <w:r w:rsidRPr="00FC0BAD" w:rsidR="0025026C">
        <w:rPr>
          <w:rFonts w:ascii="Times New Roman" w:hAnsi="Times New Roman" w:cs="Times New Roman"/>
          <w:color w:val="000000" w:themeColor="text1"/>
          <w:sz w:val="22"/>
          <w:szCs w:val="22"/>
        </w:rPr>
        <w:t>.</w:t>
      </w:r>
      <w:r>
        <w:rPr>
          <w:rStyle w:val="FootnoteReference"/>
          <w:rFonts w:cs="Times New Roman"/>
          <w:kern w:val="0"/>
          <w:szCs w:val="22"/>
        </w:rPr>
        <w:footnoteReference w:id="13"/>
      </w:r>
      <w:r w:rsidRPr="00FC0BAD" w:rsidR="00957B3E">
        <w:rPr>
          <w:rFonts w:ascii="Times New Roman" w:hAnsi="Times New Roman" w:cs="Times New Roman"/>
          <w:color w:val="000000" w:themeColor="text1"/>
          <w:sz w:val="22"/>
          <w:szCs w:val="22"/>
        </w:rPr>
        <w:t xml:space="preserve">  </w:t>
      </w:r>
      <w:r w:rsidRPr="00FC0BAD">
        <w:rPr>
          <w:rFonts w:ascii="Times New Roman" w:hAnsi="Times New Roman" w:cs="Times New Roman"/>
          <w:sz w:val="22"/>
          <w:szCs w:val="22"/>
        </w:rPr>
        <w:t xml:space="preserve">The </w:t>
      </w:r>
      <w:r w:rsidR="00761D5E">
        <w:rPr>
          <w:rFonts w:ascii="Times New Roman" w:hAnsi="Times New Roman" w:cs="Times New Roman"/>
          <w:sz w:val="22"/>
          <w:szCs w:val="22"/>
        </w:rPr>
        <w:t>panel</w:t>
      </w:r>
      <w:r w:rsidRPr="00FC0BAD">
        <w:rPr>
          <w:rFonts w:ascii="Times New Roman" w:hAnsi="Times New Roman" w:cs="Times New Roman"/>
          <w:sz w:val="22"/>
          <w:szCs w:val="22"/>
        </w:rPr>
        <w:t xml:space="preserve"> also rejected arguments that the Commission had violated the Administrative Procedure Act by “fail[</w:t>
      </w:r>
      <w:r w:rsidRPr="00FC0BAD">
        <w:rPr>
          <w:rFonts w:ascii="Times New Roman" w:hAnsi="Times New Roman" w:cs="Times New Roman"/>
          <w:sz w:val="22"/>
          <w:szCs w:val="22"/>
        </w:rPr>
        <w:t>ing</w:t>
      </w:r>
      <w:r w:rsidRPr="00FC0BAD">
        <w:rPr>
          <w:rFonts w:ascii="Times New Roman" w:hAnsi="Times New Roman" w:cs="Times New Roman"/>
          <w:sz w:val="22"/>
          <w:szCs w:val="22"/>
        </w:rPr>
        <w:t xml:space="preserve">] to respond to various ‘additional legal considerations’” and that it had violated NEPA by failing to conduct an environmental review regarding its decision to terminate the </w:t>
      </w:r>
      <w:r w:rsidRPr="00FC0BAD">
        <w:rPr>
          <w:rFonts w:ascii="Times New Roman" w:hAnsi="Times New Roman" w:cs="Times New Roman"/>
          <w:i/>
          <w:sz w:val="22"/>
          <w:szCs w:val="22"/>
        </w:rPr>
        <w:t>Notice of Inquiry</w:t>
      </w:r>
      <w:r w:rsidRPr="00FC0BAD">
        <w:rPr>
          <w:rFonts w:ascii="Times New Roman" w:hAnsi="Times New Roman" w:cs="Times New Roman"/>
          <w:sz w:val="22"/>
          <w:szCs w:val="22"/>
        </w:rPr>
        <w:t>.</w:t>
      </w:r>
      <w:r>
        <w:rPr>
          <w:rStyle w:val="FootnoteReference"/>
          <w:rFonts w:cs="Times New Roman"/>
          <w:szCs w:val="22"/>
        </w:rPr>
        <w:footnoteReference w:id="14"/>
      </w:r>
      <w:r w:rsidRPr="00FC0BAD">
        <w:rPr>
          <w:rFonts w:ascii="Times New Roman" w:hAnsi="Times New Roman" w:cs="Times New Roman"/>
          <w:sz w:val="22"/>
          <w:szCs w:val="22"/>
        </w:rPr>
        <w:t xml:space="preserve"> </w:t>
      </w:r>
    </w:p>
    <w:p w:rsidR="00FC0BAD" w:rsidP="00A03C73" w14:paraId="74AE3CB6" w14:textId="77777777">
      <w:pPr>
        <w:autoSpaceDE w:val="0"/>
        <w:autoSpaceDN w:val="0"/>
        <w:adjustRightInd w:val="0"/>
        <w:spacing w:after="0" w:line="240" w:lineRule="auto"/>
        <w:ind w:firstLine="720"/>
        <w:rPr>
          <w:rFonts w:ascii="Times New Roman" w:hAnsi="Times New Roman" w:cs="Times New Roman"/>
          <w:sz w:val="20"/>
          <w:szCs w:val="20"/>
        </w:rPr>
      </w:pPr>
    </w:p>
    <w:p w:rsidR="007F6718" w:rsidRPr="00587CCC" w:rsidP="00A03C73" w14:paraId="3339CFE1" w14:textId="7223A7E1">
      <w:pPr>
        <w:autoSpaceDE w:val="0"/>
        <w:autoSpaceDN w:val="0"/>
        <w:adjustRightInd w:val="0"/>
        <w:spacing w:after="0" w:line="240" w:lineRule="auto"/>
        <w:ind w:firstLine="720"/>
        <w:rPr>
          <w:rFonts w:ascii="Times New Roman" w:hAnsi="Times New Roman" w:cs="Times New Roman"/>
          <w:kern w:val="0"/>
          <w:sz w:val="22"/>
          <w:szCs w:val="22"/>
        </w:rPr>
      </w:pPr>
      <w:r>
        <w:rPr>
          <w:rFonts w:ascii="Times New Roman" w:hAnsi="Times New Roman" w:cs="Times New Roman"/>
          <w:kern w:val="0"/>
          <w:sz w:val="22"/>
          <w:szCs w:val="22"/>
        </w:rPr>
        <w:t>The panel maintained the legal force of the Commission’s RF safety rules, which remain effective today</w:t>
      </w:r>
      <w:r w:rsidR="008F3A65">
        <w:rPr>
          <w:rFonts w:ascii="Times New Roman" w:hAnsi="Times New Roman" w:cs="Times New Roman"/>
          <w:kern w:val="0"/>
          <w:sz w:val="22"/>
          <w:szCs w:val="22"/>
        </w:rPr>
        <w:t xml:space="preserve"> and have</w:t>
      </w:r>
      <w:r w:rsidR="005051D8">
        <w:rPr>
          <w:rFonts w:ascii="Times New Roman" w:hAnsi="Times New Roman" w:cs="Times New Roman"/>
          <w:kern w:val="0"/>
          <w:sz w:val="22"/>
          <w:szCs w:val="22"/>
        </w:rPr>
        <w:t xml:space="preserve"> allowed Americans to benefit from world-leading networks.</w:t>
      </w:r>
      <w:r w:rsidR="008528EF">
        <w:rPr>
          <w:rFonts w:ascii="Times New Roman" w:hAnsi="Times New Roman" w:cs="Times New Roman"/>
          <w:kern w:val="0"/>
          <w:sz w:val="22"/>
          <w:szCs w:val="22"/>
        </w:rPr>
        <w:t xml:space="preserve">  </w:t>
      </w:r>
      <w:r w:rsidR="00685D6D">
        <w:rPr>
          <w:rFonts w:ascii="Times New Roman" w:hAnsi="Times New Roman" w:cs="Times New Roman"/>
          <w:kern w:val="0"/>
          <w:sz w:val="22"/>
          <w:szCs w:val="22"/>
        </w:rPr>
        <w:t>At the same time</w:t>
      </w:r>
      <w:r w:rsidRPr="00587CCC">
        <w:rPr>
          <w:rFonts w:ascii="Times New Roman" w:hAnsi="Times New Roman" w:cs="Times New Roman"/>
          <w:kern w:val="0"/>
          <w:sz w:val="22"/>
          <w:szCs w:val="22"/>
        </w:rPr>
        <w:t xml:space="preserve">, the </w:t>
      </w:r>
      <w:r w:rsidR="00761D5E">
        <w:rPr>
          <w:rFonts w:ascii="Times New Roman" w:hAnsi="Times New Roman" w:cs="Times New Roman"/>
          <w:kern w:val="0"/>
          <w:sz w:val="22"/>
          <w:szCs w:val="22"/>
        </w:rPr>
        <w:t>panel</w:t>
      </w:r>
      <w:r w:rsidRPr="00587CCC">
        <w:rPr>
          <w:rFonts w:ascii="Times New Roman" w:hAnsi="Times New Roman" w:cs="Times New Roman"/>
          <w:kern w:val="0"/>
          <w:sz w:val="22"/>
          <w:szCs w:val="22"/>
        </w:rPr>
        <w:t xml:space="preserve"> remanded for the Commission “to provide a reasoned explanation for its determination that its guidelines adequately protect against harmful effects of exposure to radiofrequency radiation unrelated to cancer</w:t>
      </w:r>
      <w:r w:rsidR="00960521">
        <w:rPr>
          <w:rFonts w:ascii="Times New Roman" w:hAnsi="Times New Roman" w:cs="Times New Roman"/>
          <w:kern w:val="0"/>
          <w:sz w:val="22"/>
          <w:szCs w:val="22"/>
        </w:rPr>
        <w:t>.</w:t>
      </w:r>
      <w:r w:rsidRPr="00587CCC">
        <w:rPr>
          <w:rFonts w:ascii="Times New Roman" w:hAnsi="Times New Roman" w:cs="Times New Roman"/>
          <w:kern w:val="0"/>
          <w:sz w:val="22"/>
          <w:szCs w:val="22"/>
        </w:rPr>
        <w:t>”</w:t>
      </w:r>
      <w:r>
        <w:rPr>
          <w:rFonts w:ascii="Times New Roman" w:hAnsi="Times New Roman" w:cs="Times New Roman"/>
          <w:color w:val="000000" w:themeColor="text1"/>
          <w:sz w:val="22"/>
          <w:szCs w:val="22"/>
          <w:vertAlign w:val="superscript"/>
        </w:rPr>
        <w:footnoteReference w:id="15"/>
      </w:r>
      <w:r w:rsidR="00685D6D">
        <w:rPr>
          <w:rFonts w:ascii="Times New Roman" w:hAnsi="Times New Roman" w:cs="Times New Roman"/>
          <w:kern w:val="0"/>
          <w:sz w:val="22"/>
          <w:szCs w:val="22"/>
        </w:rPr>
        <w:t xml:space="preserve"> </w:t>
      </w:r>
      <w:r w:rsidR="00960521">
        <w:rPr>
          <w:rFonts w:ascii="Times New Roman" w:hAnsi="Times New Roman" w:cs="Times New Roman"/>
          <w:kern w:val="0"/>
          <w:sz w:val="22"/>
          <w:szCs w:val="22"/>
        </w:rPr>
        <w:t xml:space="preserve">The panel specifically directed the Commission to address </w:t>
      </w:r>
      <w:r w:rsidR="00685D6D">
        <w:rPr>
          <w:rFonts w:ascii="Times New Roman" w:hAnsi="Times New Roman" w:cs="Times New Roman"/>
          <w:kern w:val="0"/>
          <w:sz w:val="22"/>
          <w:szCs w:val="22"/>
        </w:rPr>
        <w:t xml:space="preserve">three </w:t>
      </w:r>
      <w:r w:rsidR="0052168A">
        <w:rPr>
          <w:rFonts w:ascii="Times New Roman" w:hAnsi="Times New Roman" w:cs="Times New Roman"/>
          <w:kern w:val="0"/>
          <w:sz w:val="22"/>
          <w:szCs w:val="22"/>
        </w:rPr>
        <w:t>targeted</w:t>
      </w:r>
      <w:r w:rsidR="00685D6D">
        <w:rPr>
          <w:rFonts w:ascii="Times New Roman" w:hAnsi="Times New Roman" w:cs="Times New Roman"/>
          <w:kern w:val="0"/>
          <w:sz w:val="22"/>
          <w:szCs w:val="22"/>
        </w:rPr>
        <w:t xml:space="preserve"> </w:t>
      </w:r>
      <w:r w:rsidR="00960521">
        <w:rPr>
          <w:rFonts w:ascii="Times New Roman" w:hAnsi="Times New Roman" w:cs="Times New Roman"/>
          <w:kern w:val="0"/>
          <w:sz w:val="22"/>
          <w:szCs w:val="22"/>
        </w:rPr>
        <w:t>issues</w:t>
      </w:r>
      <w:r w:rsidR="00685D6D">
        <w:rPr>
          <w:rFonts w:ascii="Times New Roman" w:hAnsi="Times New Roman" w:cs="Times New Roman"/>
          <w:kern w:val="0"/>
          <w:sz w:val="22"/>
          <w:szCs w:val="22"/>
        </w:rPr>
        <w:t>:</w:t>
      </w:r>
      <w:r w:rsidRPr="00587CCC">
        <w:rPr>
          <w:rFonts w:ascii="Times New Roman" w:hAnsi="Times New Roman" w:cs="Times New Roman"/>
          <w:kern w:val="0"/>
          <w:sz w:val="22"/>
          <w:szCs w:val="22"/>
        </w:rPr>
        <w:t xml:space="preserve"> </w:t>
      </w:r>
      <w:r w:rsidRPr="00587CCC">
        <w:rPr>
          <w:rFonts w:ascii="Times New Roman" w:hAnsi="Times New Roman" w:cs="Times New Roman"/>
          <w:sz w:val="22"/>
          <w:szCs w:val="22"/>
        </w:rPr>
        <w:t>(1) “its decision to retain its testing procedures for determining whether cell phones and other portable electronic devices comply with its guidelines”; (2) “the impacts of RF radiation on children, the health implications of long-term exposure to RF radiation, the ubiquity of wireless devices, and other technological developments that have occurred since the Commission last updated its guidelines”; and (3) “the impacts of RF radiation on the environment.”</w:t>
      </w:r>
      <w:r>
        <w:rPr>
          <w:rStyle w:val="FootnoteReference"/>
          <w:rFonts w:cs="Times New Roman"/>
          <w:kern w:val="0"/>
          <w:szCs w:val="22"/>
        </w:rPr>
        <w:footnoteReference w:id="16"/>
      </w:r>
      <w:r w:rsidR="00685D6D">
        <w:rPr>
          <w:rFonts w:ascii="Times New Roman" w:hAnsi="Times New Roman" w:cs="Times New Roman"/>
          <w:sz w:val="22"/>
          <w:szCs w:val="22"/>
        </w:rPr>
        <w:t xml:space="preserve">  Importantly, the </w:t>
      </w:r>
      <w:r w:rsidR="00761D5E">
        <w:rPr>
          <w:rFonts w:ascii="Times New Roman" w:hAnsi="Times New Roman" w:cs="Times New Roman"/>
          <w:sz w:val="22"/>
          <w:szCs w:val="22"/>
        </w:rPr>
        <w:t>panel</w:t>
      </w:r>
      <w:r w:rsidR="00685D6D">
        <w:rPr>
          <w:rFonts w:ascii="Times New Roman" w:hAnsi="Times New Roman" w:cs="Times New Roman"/>
          <w:sz w:val="22"/>
          <w:szCs w:val="22"/>
        </w:rPr>
        <w:t xml:space="preserve"> did not vacate the 2019 decision—it merely directed the Commission to provide further explanation to justify its findings as to </w:t>
      </w:r>
      <w:r w:rsidR="00E36C89">
        <w:rPr>
          <w:rFonts w:ascii="Times New Roman" w:hAnsi="Times New Roman" w:cs="Times New Roman"/>
          <w:sz w:val="22"/>
          <w:szCs w:val="22"/>
        </w:rPr>
        <w:t>these</w:t>
      </w:r>
      <w:r w:rsidR="00D92E50">
        <w:rPr>
          <w:rFonts w:ascii="Times New Roman" w:hAnsi="Times New Roman" w:cs="Times New Roman"/>
          <w:sz w:val="22"/>
          <w:szCs w:val="22"/>
        </w:rPr>
        <w:t xml:space="preserve"> specific</w:t>
      </w:r>
      <w:r w:rsidR="00685D6D">
        <w:rPr>
          <w:rFonts w:ascii="Times New Roman" w:hAnsi="Times New Roman" w:cs="Times New Roman"/>
          <w:sz w:val="22"/>
          <w:szCs w:val="22"/>
        </w:rPr>
        <w:t xml:space="preserve"> issues.  </w:t>
      </w:r>
    </w:p>
    <w:p w:rsidR="00587CCC" w:rsidRPr="00587CCC" w:rsidP="00A03C73" w14:paraId="243064A0"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7111C8" w:rsidP="00A03C73" w14:paraId="6C95C291" w14:textId="3CFA6239">
      <w:pPr>
        <w:autoSpaceDE w:val="0"/>
        <w:autoSpaceDN w:val="0"/>
        <w:adjustRightInd w:val="0"/>
        <w:spacing w:after="0" w:line="240" w:lineRule="auto"/>
        <w:ind w:firstLine="720"/>
        <w:rPr>
          <w:rFonts w:ascii="Times New Roman" w:hAnsi="Times New Roman" w:cs="Times New Roman"/>
          <w:color w:val="000000" w:themeColor="text1"/>
          <w:sz w:val="22"/>
          <w:szCs w:val="22"/>
        </w:rPr>
      </w:pPr>
      <w:r w:rsidRPr="00587CCC">
        <w:rPr>
          <w:rFonts w:ascii="Times New Roman" w:hAnsi="Times New Roman" w:cs="Times New Roman"/>
          <w:color w:val="000000" w:themeColor="text1"/>
          <w:sz w:val="22"/>
          <w:szCs w:val="22"/>
        </w:rPr>
        <w:t xml:space="preserve">By this </w:t>
      </w:r>
      <w:r w:rsidRPr="00587CCC">
        <w:rPr>
          <w:rFonts w:ascii="Times New Roman" w:hAnsi="Times New Roman" w:cs="Times New Roman"/>
          <w:i/>
          <w:color w:val="000000" w:themeColor="text1"/>
          <w:sz w:val="22"/>
          <w:szCs w:val="22"/>
        </w:rPr>
        <w:t>Public Notice</w:t>
      </w:r>
      <w:r w:rsidRPr="00587CCC">
        <w:rPr>
          <w:rFonts w:ascii="Times New Roman" w:hAnsi="Times New Roman" w:cs="Times New Roman"/>
          <w:color w:val="000000" w:themeColor="text1"/>
          <w:sz w:val="22"/>
          <w:szCs w:val="22"/>
        </w:rPr>
        <w:t xml:space="preserve">, </w:t>
      </w:r>
      <w:r w:rsidRPr="004C5FB4" w:rsidR="00A93D76">
        <w:rPr>
          <w:rFonts w:ascii="Times New Roman" w:hAnsi="Times New Roman" w:cs="Times New Roman"/>
          <w:color w:val="000000" w:themeColor="text1"/>
          <w:sz w:val="22"/>
          <w:szCs w:val="22"/>
        </w:rPr>
        <w:t>we</w:t>
      </w:r>
      <w:r w:rsidRPr="004C5FB4" w:rsidR="00FC43A4">
        <w:rPr>
          <w:rFonts w:ascii="Times New Roman" w:hAnsi="Times New Roman" w:cs="Times New Roman"/>
          <w:color w:val="000000" w:themeColor="text1"/>
          <w:sz w:val="22"/>
          <w:szCs w:val="22"/>
        </w:rPr>
        <w:t xml:space="preserve"> seek to</w:t>
      </w:r>
      <w:r w:rsidRPr="004C5FB4" w:rsidR="00A93D76">
        <w:rPr>
          <w:rFonts w:ascii="Times New Roman" w:hAnsi="Times New Roman" w:cs="Times New Roman"/>
          <w:color w:val="000000" w:themeColor="text1"/>
          <w:sz w:val="22"/>
          <w:szCs w:val="22"/>
        </w:rPr>
        <w:t xml:space="preserve"> refresh the</w:t>
      </w:r>
      <w:r w:rsidRPr="00587CCC" w:rsidR="00A93D76">
        <w:rPr>
          <w:rFonts w:ascii="Times New Roman" w:hAnsi="Times New Roman" w:cs="Times New Roman"/>
          <w:color w:val="000000" w:themeColor="text1"/>
          <w:sz w:val="22"/>
          <w:szCs w:val="22"/>
        </w:rPr>
        <w:t xml:space="preserve"> record</w:t>
      </w:r>
      <w:r w:rsidR="00685D6D">
        <w:rPr>
          <w:rFonts w:ascii="Times New Roman" w:hAnsi="Times New Roman" w:cs="Times New Roman"/>
          <w:color w:val="000000" w:themeColor="text1"/>
          <w:sz w:val="22"/>
          <w:szCs w:val="22"/>
        </w:rPr>
        <w:t xml:space="preserve"> on these targeted issues</w:t>
      </w:r>
      <w:r w:rsidRPr="00587CCC" w:rsidR="00A93D76">
        <w:rPr>
          <w:rFonts w:ascii="Times New Roman" w:hAnsi="Times New Roman" w:cs="Times New Roman"/>
          <w:color w:val="000000" w:themeColor="text1"/>
          <w:sz w:val="22"/>
          <w:szCs w:val="22"/>
        </w:rPr>
        <w:t xml:space="preserve"> </w:t>
      </w:r>
      <w:r w:rsidR="00685D6D">
        <w:rPr>
          <w:rFonts w:ascii="Times New Roman" w:hAnsi="Times New Roman" w:cs="Times New Roman"/>
          <w:color w:val="000000" w:themeColor="text1"/>
          <w:sz w:val="22"/>
          <w:szCs w:val="22"/>
        </w:rPr>
        <w:t>to discharge the Commission’s obligations in response to the Court’s remand</w:t>
      </w:r>
      <w:r w:rsidR="00D963A7">
        <w:rPr>
          <w:rFonts w:ascii="Times New Roman" w:hAnsi="Times New Roman" w:cs="Times New Roman"/>
          <w:color w:val="000000" w:themeColor="text1"/>
          <w:sz w:val="22"/>
          <w:szCs w:val="22"/>
        </w:rPr>
        <w:t xml:space="preserve"> in </w:t>
      </w:r>
      <w:r w:rsidRPr="00D963A7" w:rsidR="00D963A7">
        <w:rPr>
          <w:rFonts w:ascii="Times New Roman" w:hAnsi="Times New Roman" w:cs="Times New Roman"/>
          <w:i/>
          <w:color w:val="000000" w:themeColor="text1"/>
          <w:sz w:val="22"/>
          <w:szCs w:val="22"/>
        </w:rPr>
        <w:t>Environmental Health Trust</w:t>
      </w:r>
      <w:r w:rsidRPr="00587CCC" w:rsidR="00A93D76">
        <w:rPr>
          <w:rFonts w:ascii="Times New Roman" w:hAnsi="Times New Roman" w:cs="Times New Roman"/>
          <w:color w:val="000000" w:themeColor="text1"/>
          <w:sz w:val="22"/>
          <w:szCs w:val="22"/>
        </w:rPr>
        <w:t>.</w:t>
      </w:r>
      <w:r w:rsidRPr="00587CCC" w:rsidR="00A86C3E">
        <w:rPr>
          <w:rFonts w:ascii="Times New Roman" w:hAnsi="Times New Roman" w:cs="Times New Roman"/>
          <w:color w:val="000000" w:themeColor="text1"/>
          <w:sz w:val="22"/>
          <w:szCs w:val="22"/>
        </w:rPr>
        <w:t xml:space="preserve">  </w:t>
      </w:r>
      <w:r w:rsidR="00D963A7">
        <w:rPr>
          <w:rFonts w:ascii="Times New Roman" w:hAnsi="Times New Roman" w:cs="Times New Roman"/>
          <w:color w:val="000000" w:themeColor="text1"/>
          <w:sz w:val="22"/>
          <w:szCs w:val="22"/>
        </w:rPr>
        <w:t>In all cases, the Commission found in 2019 that the</w:t>
      </w:r>
      <w:r w:rsidR="009F056C">
        <w:rPr>
          <w:rFonts w:ascii="Times New Roman" w:hAnsi="Times New Roman" w:cs="Times New Roman"/>
          <w:color w:val="000000" w:themeColor="text1"/>
          <w:sz w:val="22"/>
          <w:szCs w:val="22"/>
        </w:rPr>
        <w:t xml:space="preserve"> nearly</w:t>
      </w:r>
      <w:r w:rsidR="00D963A7">
        <w:rPr>
          <w:rFonts w:ascii="Times New Roman" w:hAnsi="Times New Roman" w:cs="Times New Roman"/>
          <w:color w:val="000000" w:themeColor="text1"/>
          <w:sz w:val="22"/>
          <w:szCs w:val="22"/>
        </w:rPr>
        <w:t xml:space="preserve"> </w:t>
      </w:r>
      <w:r w:rsidR="00685D6D">
        <w:rPr>
          <w:rFonts w:ascii="Times New Roman" w:hAnsi="Times New Roman" w:cs="Times New Roman"/>
          <w:color w:val="000000" w:themeColor="text1"/>
          <w:sz w:val="22"/>
          <w:szCs w:val="22"/>
        </w:rPr>
        <w:t xml:space="preserve">six-year record </w:t>
      </w:r>
      <w:r w:rsidR="00D963A7">
        <w:rPr>
          <w:rFonts w:ascii="Times New Roman" w:hAnsi="Times New Roman" w:cs="Times New Roman"/>
          <w:color w:val="000000" w:themeColor="text1"/>
          <w:sz w:val="22"/>
          <w:szCs w:val="22"/>
        </w:rPr>
        <w:t>failed to justify a change to the Commission’s rules</w:t>
      </w:r>
      <w:r w:rsidR="00685D6D">
        <w:rPr>
          <w:rFonts w:ascii="Times New Roman" w:hAnsi="Times New Roman" w:cs="Times New Roman"/>
          <w:color w:val="000000" w:themeColor="text1"/>
          <w:sz w:val="22"/>
          <w:szCs w:val="22"/>
        </w:rPr>
        <w:t xml:space="preserve">.  </w:t>
      </w:r>
      <w:r w:rsidR="00D963A7">
        <w:rPr>
          <w:rFonts w:ascii="Times New Roman" w:hAnsi="Times New Roman" w:cs="Times New Roman"/>
          <w:color w:val="000000" w:themeColor="text1"/>
          <w:sz w:val="22"/>
          <w:szCs w:val="22"/>
        </w:rPr>
        <w:t xml:space="preserve">We seek comment on that finding.  </w:t>
      </w:r>
      <w:r w:rsidRPr="00587CCC" w:rsidR="00C64F07">
        <w:rPr>
          <w:rFonts w:ascii="Times New Roman" w:hAnsi="Times New Roman" w:cs="Times New Roman"/>
          <w:color w:val="000000" w:themeColor="text1"/>
          <w:sz w:val="22"/>
          <w:szCs w:val="22"/>
        </w:rPr>
        <w:t>We emphasize that, in light of the limited scope of the court’s remand, we do not seek comment</w:t>
      </w:r>
      <w:r w:rsidR="00406C3B">
        <w:rPr>
          <w:rFonts w:ascii="Times New Roman" w:hAnsi="Times New Roman" w:cs="Times New Roman"/>
          <w:color w:val="000000" w:themeColor="text1"/>
          <w:sz w:val="22"/>
          <w:szCs w:val="22"/>
        </w:rPr>
        <w:t xml:space="preserve"> here</w:t>
      </w:r>
      <w:r w:rsidRPr="00587CCC" w:rsidR="00C64F07">
        <w:rPr>
          <w:rFonts w:ascii="Times New Roman" w:hAnsi="Times New Roman" w:cs="Times New Roman"/>
          <w:color w:val="000000" w:themeColor="text1"/>
          <w:sz w:val="22"/>
          <w:szCs w:val="22"/>
        </w:rPr>
        <w:t xml:space="preserve"> on any other aspects of the</w:t>
      </w:r>
      <w:r w:rsidR="00685D6D">
        <w:rPr>
          <w:rFonts w:ascii="Times New Roman" w:hAnsi="Times New Roman" w:cs="Times New Roman"/>
          <w:i/>
          <w:color w:val="000000" w:themeColor="text1"/>
          <w:sz w:val="22"/>
          <w:szCs w:val="22"/>
        </w:rPr>
        <w:t xml:space="preserve"> </w:t>
      </w:r>
      <w:r w:rsidR="00685D6D">
        <w:rPr>
          <w:rFonts w:ascii="Times New Roman" w:hAnsi="Times New Roman" w:cs="Times New Roman"/>
          <w:color w:val="000000" w:themeColor="text1"/>
          <w:sz w:val="22"/>
          <w:szCs w:val="22"/>
        </w:rPr>
        <w:t xml:space="preserve">2019 </w:t>
      </w:r>
      <w:r w:rsidR="006A0016">
        <w:rPr>
          <w:rFonts w:ascii="Times New Roman" w:hAnsi="Times New Roman" w:cs="Times New Roman"/>
          <w:color w:val="000000" w:themeColor="text1"/>
          <w:sz w:val="22"/>
          <w:szCs w:val="22"/>
        </w:rPr>
        <w:t>decision</w:t>
      </w:r>
      <w:r w:rsidR="00D963A7">
        <w:rPr>
          <w:rFonts w:ascii="Times New Roman" w:hAnsi="Times New Roman" w:cs="Times New Roman"/>
          <w:color w:val="000000" w:themeColor="text1"/>
          <w:sz w:val="22"/>
          <w:szCs w:val="22"/>
        </w:rPr>
        <w:t xml:space="preserve"> that were upheld in </w:t>
      </w:r>
      <w:r w:rsidRPr="00D963A7" w:rsidR="00D963A7">
        <w:rPr>
          <w:rFonts w:ascii="Times New Roman" w:hAnsi="Times New Roman" w:cs="Times New Roman"/>
          <w:i/>
          <w:color w:val="000000" w:themeColor="text1"/>
          <w:sz w:val="22"/>
          <w:szCs w:val="22"/>
        </w:rPr>
        <w:t>Environmental Health Trust</w:t>
      </w:r>
      <w:r w:rsidR="00996301">
        <w:rPr>
          <w:rFonts w:ascii="Times New Roman" w:hAnsi="Times New Roman" w:cs="Times New Roman"/>
          <w:color w:val="000000" w:themeColor="text1"/>
          <w:sz w:val="22"/>
          <w:szCs w:val="22"/>
        </w:rPr>
        <w:t xml:space="preserve"> or portions of the record that were not properly before the court.</w:t>
      </w:r>
      <w:r>
        <w:rPr>
          <w:rStyle w:val="FootnoteReference"/>
          <w:rFonts w:cs="Times New Roman"/>
          <w:szCs w:val="22"/>
        </w:rPr>
        <w:footnoteReference w:id="17"/>
      </w:r>
      <w:r w:rsidRPr="00587CCC" w:rsidR="004273FE">
        <w:rPr>
          <w:rFonts w:ascii="Times New Roman" w:hAnsi="Times New Roman" w:cs="Times New Roman"/>
          <w:color w:val="000000" w:themeColor="text1"/>
          <w:sz w:val="22"/>
          <w:szCs w:val="22"/>
        </w:rPr>
        <w:t xml:space="preserve"> </w:t>
      </w:r>
      <w:r w:rsidR="00685D6D">
        <w:rPr>
          <w:rFonts w:ascii="Times New Roman" w:hAnsi="Times New Roman" w:cs="Times New Roman"/>
          <w:color w:val="000000" w:themeColor="text1"/>
          <w:sz w:val="22"/>
          <w:szCs w:val="22"/>
        </w:rPr>
        <w:t xml:space="preserve"> </w:t>
      </w:r>
    </w:p>
    <w:p w:rsidR="00D963A7" w:rsidP="00A03C73" w14:paraId="0AB14962"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D963A7" w:rsidP="00A03C73" w14:paraId="4680D9C5" w14:textId="06E03B04">
      <w:pPr>
        <w:autoSpaceDE w:val="0"/>
        <w:autoSpaceDN w:val="0"/>
        <w:adjustRightInd w:val="0"/>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ab/>
        <w:t>*</w:t>
      </w:r>
      <w:r>
        <w:rPr>
          <w:rFonts w:ascii="Times New Roman" w:hAnsi="Times New Roman" w:cs="Times New Roman"/>
          <w:color w:val="000000" w:themeColor="text1"/>
          <w:sz w:val="22"/>
          <w:szCs w:val="22"/>
        </w:rPr>
        <w:tab/>
        <w:t>*</w:t>
      </w:r>
    </w:p>
    <w:p w:rsidR="00D963A7" w:rsidP="00A03C73" w14:paraId="47ABAABC"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D963A7" w:rsidP="00A03C73" w14:paraId="65AC74F7" w14:textId="596A4672">
      <w:pPr>
        <w:autoSpaceDE w:val="0"/>
        <w:autoSpaceDN w:val="0"/>
        <w:adjustRightInd w:val="0"/>
        <w:spacing w:after="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A757E3">
        <w:rPr>
          <w:rFonts w:ascii="Times New Roman" w:hAnsi="Times New Roman" w:cs="Times New Roman"/>
          <w:color w:val="000000" w:themeColor="text1"/>
          <w:sz w:val="22"/>
          <w:szCs w:val="22"/>
        </w:rPr>
        <w:t xml:space="preserve">The panel’s </w:t>
      </w:r>
      <w:r w:rsidR="0016016A">
        <w:rPr>
          <w:rFonts w:ascii="Times New Roman" w:hAnsi="Times New Roman" w:cs="Times New Roman"/>
          <w:color w:val="000000" w:themeColor="text1"/>
          <w:sz w:val="22"/>
          <w:szCs w:val="22"/>
        </w:rPr>
        <w:t>opinion in</w:t>
      </w:r>
      <w:r w:rsidR="00C0239C">
        <w:rPr>
          <w:rFonts w:ascii="Times New Roman" w:hAnsi="Times New Roman" w:cs="Times New Roman"/>
          <w:color w:val="000000" w:themeColor="text1"/>
          <w:sz w:val="22"/>
          <w:szCs w:val="22"/>
        </w:rPr>
        <w:t xml:space="preserve"> </w:t>
      </w:r>
      <w:r w:rsidRPr="00A757E3" w:rsidR="00C0239C">
        <w:rPr>
          <w:rFonts w:ascii="Times New Roman" w:hAnsi="Times New Roman" w:cs="Times New Roman"/>
          <w:i/>
          <w:color w:val="000000" w:themeColor="text1"/>
          <w:sz w:val="22"/>
          <w:szCs w:val="22"/>
        </w:rPr>
        <w:t>Environmental Health Trust</w:t>
      </w:r>
      <w:r w:rsidR="00C0239C">
        <w:rPr>
          <w:rFonts w:ascii="Times New Roman" w:hAnsi="Times New Roman" w:cs="Times New Roman"/>
          <w:color w:val="000000" w:themeColor="text1"/>
          <w:sz w:val="22"/>
          <w:szCs w:val="22"/>
        </w:rPr>
        <w:t xml:space="preserve"> </w:t>
      </w:r>
      <w:r w:rsidR="00C0239C">
        <w:rPr>
          <w:rFonts w:ascii="Times New Roman" w:hAnsi="Times New Roman" w:cs="Times New Roman"/>
          <w:sz w:val="22"/>
          <w:szCs w:val="22"/>
        </w:rPr>
        <w:t>took “</w:t>
      </w:r>
      <w:r w:rsidRPr="00D963A7" w:rsidR="00C0239C">
        <w:rPr>
          <w:rFonts w:ascii="Times New Roman" w:hAnsi="Times New Roman" w:cs="Times New Roman"/>
          <w:sz w:val="22"/>
          <w:szCs w:val="22"/>
        </w:rPr>
        <w:t>no position in the scientific debate regarding the health and environmental effects of RF radiation</w:t>
      </w:r>
      <w:r w:rsidR="00C0239C">
        <w:rPr>
          <w:rFonts w:ascii="Times New Roman" w:hAnsi="Times New Roman" w:cs="Times New Roman"/>
          <w:sz w:val="22"/>
          <w:szCs w:val="22"/>
        </w:rPr>
        <w:t>.”</w:t>
      </w:r>
      <w:r>
        <w:rPr>
          <w:rStyle w:val="FootnoteReference"/>
          <w:rFonts w:cs="Times New Roman"/>
          <w:szCs w:val="22"/>
        </w:rPr>
        <w:footnoteReference w:id="18"/>
      </w:r>
      <w:r w:rsidR="00C0239C">
        <w:rPr>
          <w:rFonts w:ascii="Times New Roman" w:hAnsi="Times New Roman" w:cs="Times New Roman"/>
          <w:sz w:val="22"/>
          <w:szCs w:val="22"/>
        </w:rPr>
        <w:t xml:space="preserve">  Rather, it</w:t>
      </w:r>
      <w:r w:rsidR="00C0239C">
        <w:rPr>
          <w:rFonts w:ascii="Times New Roman" w:hAnsi="Times New Roman" w:cs="Times New Roman"/>
          <w:color w:val="000000" w:themeColor="text1"/>
          <w:sz w:val="22"/>
          <w:szCs w:val="22"/>
        </w:rPr>
        <w:t xml:space="preserve"> </w:t>
      </w:r>
      <w:r w:rsidR="00A757E3">
        <w:rPr>
          <w:rFonts w:ascii="Times New Roman" w:hAnsi="Times New Roman" w:cs="Times New Roman"/>
          <w:color w:val="000000" w:themeColor="text1"/>
          <w:sz w:val="22"/>
          <w:szCs w:val="22"/>
        </w:rPr>
        <w:t xml:space="preserve">pointed to </w:t>
      </w:r>
      <w:r w:rsidR="00C434AF">
        <w:rPr>
          <w:rFonts w:ascii="Times New Roman" w:hAnsi="Times New Roman" w:cs="Times New Roman"/>
          <w:color w:val="000000" w:themeColor="text1"/>
          <w:sz w:val="22"/>
          <w:szCs w:val="22"/>
        </w:rPr>
        <w:t>submissions and studies</w:t>
      </w:r>
      <w:r w:rsidR="00A757E3">
        <w:rPr>
          <w:rFonts w:ascii="Times New Roman" w:hAnsi="Times New Roman" w:cs="Times New Roman"/>
          <w:color w:val="000000" w:themeColor="text1"/>
          <w:sz w:val="22"/>
          <w:szCs w:val="22"/>
        </w:rPr>
        <w:t xml:space="preserve"> in the record that </w:t>
      </w:r>
      <w:r w:rsidR="009E07F3">
        <w:rPr>
          <w:rFonts w:ascii="Times New Roman" w:hAnsi="Times New Roman" w:cs="Times New Roman"/>
          <w:color w:val="000000" w:themeColor="text1"/>
          <w:sz w:val="22"/>
          <w:szCs w:val="22"/>
        </w:rPr>
        <w:t>the Commission did not address</w:t>
      </w:r>
      <w:r w:rsidR="00FB7528">
        <w:rPr>
          <w:rFonts w:ascii="Times New Roman" w:hAnsi="Times New Roman" w:cs="Times New Roman"/>
          <w:color w:val="000000" w:themeColor="text1"/>
          <w:sz w:val="22"/>
          <w:szCs w:val="22"/>
        </w:rPr>
        <w:t xml:space="preserve"> in consideration of the </w:t>
      </w:r>
      <w:r w:rsidR="005E0B1F">
        <w:rPr>
          <w:rFonts w:ascii="Times New Roman" w:hAnsi="Times New Roman" w:cs="Times New Roman"/>
          <w:color w:val="000000" w:themeColor="text1"/>
          <w:sz w:val="22"/>
          <w:szCs w:val="22"/>
        </w:rPr>
        <w:t>specific</w:t>
      </w:r>
      <w:r w:rsidR="00FB7528">
        <w:rPr>
          <w:rFonts w:ascii="Times New Roman" w:hAnsi="Times New Roman" w:cs="Times New Roman"/>
          <w:color w:val="000000" w:themeColor="text1"/>
          <w:sz w:val="22"/>
          <w:szCs w:val="22"/>
        </w:rPr>
        <w:t xml:space="preserve"> issues</w:t>
      </w:r>
      <w:r w:rsidR="005E0B1F">
        <w:rPr>
          <w:rFonts w:ascii="Times New Roman" w:hAnsi="Times New Roman" w:cs="Times New Roman"/>
          <w:color w:val="000000" w:themeColor="text1"/>
          <w:sz w:val="22"/>
          <w:szCs w:val="22"/>
        </w:rPr>
        <w:t xml:space="preserve"> identified above</w:t>
      </w:r>
      <w:r w:rsidR="00E44E8E">
        <w:rPr>
          <w:rFonts w:ascii="Times New Roman" w:hAnsi="Times New Roman" w:cs="Times New Roman"/>
          <w:color w:val="000000" w:themeColor="text1"/>
          <w:sz w:val="22"/>
          <w:szCs w:val="22"/>
        </w:rPr>
        <w:t>.</w:t>
      </w:r>
      <w:r>
        <w:rPr>
          <w:rStyle w:val="FootnoteReference"/>
          <w:rFonts w:cs="Times New Roman"/>
          <w:szCs w:val="22"/>
        </w:rPr>
        <w:footnoteReference w:id="19"/>
      </w:r>
      <w:r w:rsidR="00FB7528">
        <w:rPr>
          <w:rFonts w:ascii="Times New Roman" w:hAnsi="Times New Roman" w:cs="Times New Roman"/>
          <w:color w:val="000000" w:themeColor="text1"/>
          <w:sz w:val="22"/>
          <w:szCs w:val="22"/>
        </w:rPr>
        <w:t xml:space="preserve">  </w:t>
      </w:r>
      <w:r w:rsidR="002B47F7">
        <w:rPr>
          <w:rFonts w:ascii="Times New Roman" w:hAnsi="Times New Roman" w:cs="Times New Roman"/>
          <w:color w:val="000000" w:themeColor="text1"/>
          <w:sz w:val="22"/>
          <w:szCs w:val="22"/>
        </w:rPr>
        <w:t xml:space="preserve">The panel did not endorse </w:t>
      </w:r>
      <w:r w:rsidR="00FB7528">
        <w:rPr>
          <w:rFonts w:ascii="Times New Roman" w:hAnsi="Times New Roman" w:cs="Times New Roman"/>
          <w:color w:val="000000" w:themeColor="text1"/>
          <w:sz w:val="22"/>
          <w:szCs w:val="22"/>
        </w:rPr>
        <w:t>those</w:t>
      </w:r>
      <w:r w:rsidR="00E44E8E">
        <w:rPr>
          <w:rFonts w:ascii="Times New Roman" w:hAnsi="Times New Roman" w:cs="Times New Roman"/>
          <w:color w:val="000000" w:themeColor="text1"/>
          <w:sz w:val="22"/>
          <w:szCs w:val="22"/>
        </w:rPr>
        <w:t xml:space="preserve"> submissions,</w:t>
      </w:r>
      <w:r w:rsidR="002B47F7">
        <w:rPr>
          <w:rFonts w:ascii="Times New Roman" w:hAnsi="Times New Roman" w:cs="Times New Roman"/>
          <w:color w:val="000000" w:themeColor="text1"/>
          <w:sz w:val="22"/>
          <w:szCs w:val="22"/>
        </w:rPr>
        <w:t xml:space="preserve"> </w:t>
      </w:r>
      <w:r w:rsidR="006070CD">
        <w:rPr>
          <w:rFonts w:ascii="Times New Roman" w:hAnsi="Times New Roman" w:cs="Times New Roman"/>
          <w:color w:val="000000" w:themeColor="text1"/>
          <w:sz w:val="22"/>
          <w:szCs w:val="22"/>
        </w:rPr>
        <w:t xml:space="preserve">whereas </w:t>
      </w:r>
      <w:r w:rsidR="002B47F7">
        <w:rPr>
          <w:rFonts w:ascii="Times New Roman" w:hAnsi="Times New Roman" w:cs="Times New Roman"/>
          <w:color w:val="000000" w:themeColor="text1"/>
          <w:sz w:val="22"/>
          <w:szCs w:val="22"/>
        </w:rPr>
        <w:t xml:space="preserve">the dissent specifically </w:t>
      </w:r>
      <w:r w:rsidR="004878D8">
        <w:rPr>
          <w:rFonts w:ascii="Times New Roman" w:hAnsi="Times New Roman" w:cs="Times New Roman"/>
          <w:color w:val="000000" w:themeColor="text1"/>
          <w:sz w:val="22"/>
          <w:szCs w:val="22"/>
        </w:rPr>
        <w:t xml:space="preserve">determined that </w:t>
      </w:r>
      <w:r w:rsidR="003639DE">
        <w:rPr>
          <w:rFonts w:ascii="Times New Roman" w:hAnsi="Times New Roman" w:cs="Times New Roman"/>
          <w:color w:val="000000" w:themeColor="text1"/>
          <w:sz w:val="22"/>
          <w:szCs w:val="22"/>
        </w:rPr>
        <w:t>many of them</w:t>
      </w:r>
      <w:r w:rsidR="004878D8">
        <w:rPr>
          <w:rFonts w:ascii="Times New Roman" w:hAnsi="Times New Roman" w:cs="Times New Roman"/>
          <w:color w:val="000000" w:themeColor="text1"/>
          <w:sz w:val="22"/>
          <w:szCs w:val="22"/>
        </w:rPr>
        <w:t xml:space="preserve"> were</w:t>
      </w:r>
      <w:r w:rsidR="002B47F7">
        <w:rPr>
          <w:rFonts w:ascii="Times New Roman" w:hAnsi="Times New Roman" w:cs="Times New Roman"/>
          <w:color w:val="000000" w:themeColor="text1"/>
          <w:sz w:val="22"/>
          <w:szCs w:val="22"/>
        </w:rPr>
        <w:t xml:space="preserve"> insufficient to warrant </w:t>
      </w:r>
      <w:r w:rsidR="003639DE">
        <w:rPr>
          <w:rFonts w:ascii="Times New Roman" w:hAnsi="Times New Roman" w:cs="Times New Roman"/>
          <w:color w:val="000000" w:themeColor="text1"/>
          <w:sz w:val="22"/>
          <w:szCs w:val="22"/>
        </w:rPr>
        <w:t xml:space="preserve">the </w:t>
      </w:r>
      <w:r w:rsidR="00837213">
        <w:rPr>
          <w:rFonts w:ascii="Times New Roman" w:hAnsi="Times New Roman" w:cs="Times New Roman"/>
          <w:color w:val="000000" w:themeColor="text1"/>
          <w:sz w:val="22"/>
          <w:szCs w:val="22"/>
        </w:rPr>
        <w:t>Commission</w:t>
      </w:r>
      <w:r w:rsidR="003639DE">
        <w:rPr>
          <w:rFonts w:ascii="Times New Roman" w:hAnsi="Times New Roman" w:cs="Times New Roman"/>
          <w:color w:val="000000" w:themeColor="text1"/>
          <w:sz w:val="22"/>
          <w:szCs w:val="22"/>
        </w:rPr>
        <w:t>’s</w:t>
      </w:r>
      <w:r w:rsidR="00837213">
        <w:rPr>
          <w:rFonts w:ascii="Times New Roman" w:hAnsi="Times New Roman" w:cs="Times New Roman"/>
          <w:color w:val="000000" w:themeColor="text1"/>
          <w:sz w:val="22"/>
          <w:szCs w:val="22"/>
        </w:rPr>
        <w:t xml:space="preserve"> </w:t>
      </w:r>
      <w:r w:rsidR="003639DE">
        <w:rPr>
          <w:rFonts w:ascii="Times New Roman" w:hAnsi="Times New Roman" w:cs="Times New Roman"/>
          <w:color w:val="000000" w:themeColor="text1"/>
          <w:sz w:val="22"/>
          <w:szCs w:val="22"/>
        </w:rPr>
        <w:t xml:space="preserve">explicit </w:t>
      </w:r>
      <w:r w:rsidR="004878D8">
        <w:rPr>
          <w:rFonts w:ascii="Times New Roman" w:hAnsi="Times New Roman" w:cs="Times New Roman"/>
          <w:color w:val="000000" w:themeColor="text1"/>
          <w:sz w:val="22"/>
          <w:szCs w:val="22"/>
        </w:rPr>
        <w:t>analysis</w:t>
      </w:r>
      <w:r w:rsidR="002B47F7">
        <w:rPr>
          <w:rFonts w:ascii="Times New Roman" w:hAnsi="Times New Roman" w:cs="Times New Roman"/>
          <w:color w:val="000000" w:themeColor="text1"/>
          <w:sz w:val="22"/>
          <w:szCs w:val="22"/>
        </w:rPr>
        <w:t>.</w:t>
      </w:r>
      <w:r w:rsidR="00E44E8E">
        <w:rPr>
          <w:rFonts w:ascii="Times New Roman" w:hAnsi="Times New Roman" w:cs="Times New Roman"/>
          <w:color w:val="000000" w:themeColor="text1"/>
          <w:sz w:val="22"/>
          <w:szCs w:val="22"/>
        </w:rPr>
        <w:t xml:space="preserve"> </w:t>
      </w:r>
      <w:r w:rsidR="002B47F7">
        <w:rPr>
          <w:rFonts w:ascii="Times New Roman" w:hAnsi="Times New Roman" w:cs="Times New Roman"/>
          <w:color w:val="000000" w:themeColor="text1"/>
          <w:sz w:val="22"/>
          <w:szCs w:val="22"/>
        </w:rPr>
        <w:t xml:space="preserve"> </w:t>
      </w:r>
      <w:r w:rsidR="00F1648E">
        <w:rPr>
          <w:rFonts w:ascii="Times New Roman" w:hAnsi="Times New Roman" w:cs="Times New Roman"/>
          <w:color w:val="000000" w:themeColor="text1"/>
          <w:sz w:val="22"/>
          <w:szCs w:val="22"/>
        </w:rPr>
        <w:t xml:space="preserve">The panel did, however, acknowledge </w:t>
      </w:r>
      <w:r w:rsidR="00A757E3">
        <w:rPr>
          <w:rFonts w:ascii="Times New Roman" w:hAnsi="Times New Roman" w:cs="Times New Roman"/>
          <w:color w:val="000000" w:themeColor="text1"/>
          <w:sz w:val="22"/>
          <w:szCs w:val="22"/>
        </w:rPr>
        <w:t xml:space="preserve">“that </w:t>
      </w:r>
      <w:r w:rsidRPr="00A757E3" w:rsidR="00A757E3">
        <w:rPr>
          <w:rFonts w:ascii="Times New Roman" w:hAnsi="Times New Roman" w:cs="Times New Roman"/>
          <w:color w:val="000000" w:themeColor="text1"/>
          <w:sz w:val="22"/>
          <w:szCs w:val="22"/>
        </w:rPr>
        <w:t>there may be good reasons</w:t>
      </w:r>
      <w:r w:rsidR="00F82E0E">
        <w:rPr>
          <w:rFonts w:ascii="Times New Roman" w:hAnsi="Times New Roman" w:cs="Times New Roman"/>
          <w:color w:val="000000" w:themeColor="text1"/>
          <w:sz w:val="22"/>
          <w:szCs w:val="22"/>
        </w:rPr>
        <w:t>” why those submissions</w:t>
      </w:r>
      <w:r w:rsidRPr="00A757E3" w:rsidR="00A757E3">
        <w:rPr>
          <w:rFonts w:ascii="Times New Roman" w:hAnsi="Times New Roman" w:cs="Times New Roman"/>
          <w:color w:val="000000" w:themeColor="text1"/>
          <w:sz w:val="22"/>
          <w:szCs w:val="22"/>
        </w:rPr>
        <w:t xml:space="preserve"> </w:t>
      </w:r>
      <w:r w:rsidR="00E44E8E">
        <w:rPr>
          <w:rFonts w:ascii="Times New Roman" w:hAnsi="Times New Roman" w:cs="Times New Roman"/>
          <w:color w:val="000000" w:themeColor="text1"/>
          <w:sz w:val="22"/>
          <w:szCs w:val="22"/>
        </w:rPr>
        <w:t>“</w:t>
      </w:r>
      <w:r w:rsidRPr="00A757E3" w:rsidR="00A757E3">
        <w:rPr>
          <w:rFonts w:ascii="Times New Roman" w:hAnsi="Times New Roman" w:cs="Times New Roman"/>
          <w:color w:val="000000" w:themeColor="text1"/>
          <w:sz w:val="22"/>
          <w:szCs w:val="22"/>
        </w:rPr>
        <w:t>do not warrant changes to the Commission’s guidelines.</w:t>
      </w:r>
      <w:r w:rsidR="00A757E3">
        <w:rPr>
          <w:rFonts w:ascii="Times New Roman" w:hAnsi="Times New Roman" w:cs="Times New Roman"/>
          <w:color w:val="000000" w:themeColor="text1"/>
          <w:sz w:val="22"/>
          <w:szCs w:val="22"/>
        </w:rPr>
        <w:t>”</w:t>
      </w:r>
      <w:r>
        <w:rPr>
          <w:rStyle w:val="FootnoteReference"/>
          <w:rFonts w:cs="Times New Roman"/>
          <w:szCs w:val="22"/>
        </w:rPr>
        <w:footnoteReference w:id="20"/>
      </w:r>
      <w:r w:rsidR="00A757E3">
        <w:rPr>
          <w:rFonts w:ascii="Times New Roman" w:hAnsi="Times New Roman" w:cs="Times New Roman"/>
          <w:color w:val="000000" w:themeColor="text1"/>
          <w:sz w:val="22"/>
          <w:szCs w:val="22"/>
        </w:rPr>
        <w:t xml:space="preserve">  </w:t>
      </w:r>
      <w:r w:rsidR="009E07F3">
        <w:rPr>
          <w:rFonts w:ascii="Times New Roman" w:hAnsi="Times New Roman" w:cs="Times New Roman"/>
          <w:color w:val="000000" w:themeColor="text1"/>
          <w:sz w:val="22"/>
          <w:szCs w:val="22"/>
        </w:rPr>
        <w:t xml:space="preserve">The panel </w:t>
      </w:r>
      <w:r w:rsidR="00DB1144">
        <w:rPr>
          <w:rFonts w:ascii="Times New Roman" w:hAnsi="Times New Roman" w:cs="Times New Roman"/>
          <w:color w:val="000000" w:themeColor="text1"/>
          <w:sz w:val="22"/>
          <w:szCs w:val="22"/>
        </w:rPr>
        <w:t xml:space="preserve">further </w:t>
      </w:r>
      <w:r w:rsidR="009E07F3">
        <w:rPr>
          <w:rFonts w:ascii="Times New Roman" w:hAnsi="Times New Roman" w:cs="Times New Roman"/>
          <w:color w:val="000000" w:themeColor="text1"/>
          <w:sz w:val="22"/>
          <w:szCs w:val="22"/>
        </w:rPr>
        <w:t>noted that “</w:t>
      </w:r>
      <w:r w:rsidRPr="009E07F3" w:rsidR="009E07F3">
        <w:rPr>
          <w:rFonts w:ascii="Times New Roman" w:hAnsi="Times New Roman" w:cs="Times New Roman"/>
          <w:color w:val="000000" w:themeColor="text1"/>
          <w:sz w:val="22"/>
          <w:szCs w:val="22"/>
        </w:rPr>
        <w:t>if those six sources fairly represented the credible record evidence seeking a change in Commission policy,</w:t>
      </w:r>
      <w:r w:rsidR="009E07F3">
        <w:rPr>
          <w:rFonts w:ascii="Times New Roman" w:hAnsi="Times New Roman" w:cs="Times New Roman"/>
          <w:color w:val="000000" w:themeColor="text1"/>
          <w:sz w:val="22"/>
          <w:szCs w:val="22"/>
        </w:rPr>
        <w:t>” then the criticisms of those sources in the dissenting opinion “</w:t>
      </w:r>
      <w:r w:rsidRPr="009E07F3" w:rsidR="009E07F3">
        <w:rPr>
          <w:rFonts w:ascii="Times New Roman" w:hAnsi="Times New Roman" w:cs="Times New Roman"/>
          <w:color w:val="000000" w:themeColor="text1"/>
          <w:sz w:val="22"/>
          <w:szCs w:val="22"/>
        </w:rPr>
        <w:t>would have sufficed</w:t>
      </w:r>
      <w:r w:rsidR="009E07F3">
        <w:rPr>
          <w:rFonts w:ascii="Times New Roman" w:hAnsi="Times New Roman" w:cs="Times New Roman"/>
          <w:color w:val="000000" w:themeColor="text1"/>
          <w:sz w:val="22"/>
          <w:szCs w:val="22"/>
        </w:rPr>
        <w:t>”</w:t>
      </w:r>
      <w:r w:rsidR="000F5A79">
        <w:rPr>
          <w:rFonts w:ascii="Times New Roman" w:hAnsi="Times New Roman" w:cs="Times New Roman"/>
          <w:color w:val="000000" w:themeColor="text1"/>
          <w:sz w:val="22"/>
          <w:szCs w:val="22"/>
        </w:rPr>
        <w:t xml:space="preserve"> as reasoned decision-making.</w:t>
      </w:r>
      <w:r>
        <w:rPr>
          <w:rStyle w:val="FootnoteReference"/>
          <w:rFonts w:cs="Times New Roman"/>
          <w:szCs w:val="22"/>
        </w:rPr>
        <w:footnoteReference w:id="21"/>
      </w:r>
      <w:r w:rsidR="009E07F3">
        <w:rPr>
          <w:rFonts w:ascii="Times New Roman" w:hAnsi="Times New Roman" w:cs="Times New Roman"/>
          <w:color w:val="000000" w:themeColor="text1"/>
          <w:sz w:val="22"/>
          <w:szCs w:val="22"/>
        </w:rPr>
        <w:t xml:space="preserve">  We seek comment on </w:t>
      </w:r>
      <w:r w:rsidR="003B1811">
        <w:rPr>
          <w:rFonts w:ascii="Times New Roman" w:hAnsi="Times New Roman" w:cs="Times New Roman"/>
          <w:color w:val="000000" w:themeColor="text1"/>
          <w:sz w:val="22"/>
          <w:szCs w:val="22"/>
        </w:rPr>
        <w:t>the</w:t>
      </w:r>
      <w:r w:rsidR="00921332">
        <w:rPr>
          <w:rFonts w:ascii="Times New Roman" w:hAnsi="Times New Roman" w:cs="Times New Roman"/>
          <w:color w:val="000000" w:themeColor="text1"/>
          <w:sz w:val="22"/>
          <w:szCs w:val="22"/>
        </w:rPr>
        <w:t xml:space="preserve"> </w:t>
      </w:r>
      <w:r w:rsidR="009E07F3">
        <w:rPr>
          <w:rFonts w:ascii="Times New Roman" w:hAnsi="Times New Roman" w:cs="Times New Roman"/>
          <w:color w:val="000000" w:themeColor="text1"/>
          <w:sz w:val="22"/>
          <w:szCs w:val="22"/>
        </w:rPr>
        <w:t>submissions</w:t>
      </w:r>
      <w:r w:rsidR="00921332">
        <w:rPr>
          <w:rFonts w:ascii="Times New Roman" w:hAnsi="Times New Roman" w:cs="Times New Roman"/>
          <w:color w:val="000000" w:themeColor="text1"/>
          <w:sz w:val="22"/>
          <w:szCs w:val="22"/>
        </w:rPr>
        <w:t xml:space="preserve"> specifically cited and discussed in </w:t>
      </w:r>
      <w:r w:rsidR="00397171">
        <w:rPr>
          <w:rFonts w:ascii="Times New Roman" w:hAnsi="Times New Roman" w:cs="Times New Roman"/>
          <w:color w:val="000000" w:themeColor="text1"/>
          <w:sz w:val="22"/>
          <w:szCs w:val="22"/>
        </w:rPr>
        <w:t xml:space="preserve">the </w:t>
      </w:r>
      <w:r w:rsidRPr="00921332" w:rsidR="00921332">
        <w:rPr>
          <w:rFonts w:ascii="Times New Roman" w:hAnsi="Times New Roman" w:cs="Times New Roman"/>
          <w:i/>
          <w:color w:val="000000" w:themeColor="text1"/>
          <w:sz w:val="22"/>
          <w:szCs w:val="22"/>
        </w:rPr>
        <w:t>Environmental Health Trust</w:t>
      </w:r>
      <w:r w:rsidR="003E445A">
        <w:rPr>
          <w:rFonts w:ascii="Times New Roman" w:hAnsi="Times New Roman" w:cs="Times New Roman"/>
          <w:color w:val="000000" w:themeColor="text1"/>
          <w:sz w:val="22"/>
          <w:szCs w:val="22"/>
        </w:rPr>
        <w:t xml:space="preserve"> opinion</w:t>
      </w:r>
      <w:r w:rsidR="00951697">
        <w:rPr>
          <w:rFonts w:ascii="Times New Roman" w:hAnsi="Times New Roman" w:cs="Times New Roman"/>
          <w:color w:val="000000" w:themeColor="text1"/>
          <w:sz w:val="22"/>
          <w:szCs w:val="22"/>
        </w:rPr>
        <w:t>.  Are they</w:t>
      </w:r>
      <w:r w:rsidR="009E07F3">
        <w:rPr>
          <w:rFonts w:ascii="Times New Roman" w:hAnsi="Times New Roman" w:cs="Times New Roman"/>
          <w:color w:val="000000" w:themeColor="text1"/>
          <w:sz w:val="22"/>
          <w:szCs w:val="22"/>
        </w:rPr>
        <w:t xml:space="preserve"> representative of record evidence seeking a change in the Commission’s rules</w:t>
      </w:r>
      <w:r w:rsidR="00951697">
        <w:rPr>
          <w:rFonts w:ascii="Times New Roman" w:hAnsi="Times New Roman" w:cs="Times New Roman"/>
          <w:color w:val="000000" w:themeColor="text1"/>
          <w:sz w:val="22"/>
          <w:szCs w:val="22"/>
        </w:rPr>
        <w:t>?  Do</w:t>
      </w:r>
      <w:r w:rsidR="009E07F3">
        <w:rPr>
          <w:rFonts w:ascii="Times New Roman" w:hAnsi="Times New Roman" w:cs="Times New Roman"/>
          <w:color w:val="000000" w:themeColor="text1"/>
          <w:sz w:val="22"/>
          <w:szCs w:val="22"/>
        </w:rPr>
        <w:t xml:space="preserve"> </w:t>
      </w:r>
      <w:r w:rsidR="004F714F">
        <w:rPr>
          <w:rFonts w:ascii="Times New Roman" w:hAnsi="Times New Roman" w:cs="Times New Roman"/>
          <w:color w:val="000000" w:themeColor="text1"/>
          <w:sz w:val="22"/>
          <w:szCs w:val="22"/>
        </w:rPr>
        <w:t xml:space="preserve">they </w:t>
      </w:r>
      <w:r w:rsidR="00E6568F">
        <w:rPr>
          <w:rFonts w:ascii="Times New Roman" w:hAnsi="Times New Roman" w:cs="Times New Roman"/>
          <w:color w:val="000000" w:themeColor="text1"/>
          <w:sz w:val="22"/>
          <w:szCs w:val="22"/>
        </w:rPr>
        <w:t>demonstrate</w:t>
      </w:r>
      <w:r w:rsidR="007F7371">
        <w:rPr>
          <w:rFonts w:ascii="Times New Roman" w:hAnsi="Times New Roman" w:cs="Times New Roman"/>
          <w:color w:val="000000" w:themeColor="text1"/>
          <w:sz w:val="22"/>
          <w:szCs w:val="22"/>
        </w:rPr>
        <w:t xml:space="preserve"> </w:t>
      </w:r>
      <w:r w:rsidR="009E07F3">
        <w:rPr>
          <w:rFonts w:ascii="Times New Roman" w:hAnsi="Times New Roman" w:cs="Times New Roman"/>
          <w:color w:val="000000" w:themeColor="text1"/>
          <w:sz w:val="22"/>
          <w:szCs w:val="22"/>
        </w:rPr>
        <w:t>sufficient indicia of quality</w:t>
      </w:r>
      <w:r w:rsidR="00B421F2">
        <w:rPr>
          <w:rFonts w:ascii="Times New Roman" w:hAnsi="Times New Roman" w:cs="Times New Roman"/>
          <w:color w:val="000000" w:themeColor="text1"/>
          <w:sz w:val="22"/>
          <w:szCs w:val="22"/>
        </w:rPr>
        <w:t>, reliability, or rigor</w:t>
      </w:r>
      <w:r w:rsidR="009E07F3">
        <w:rPr>
          <w:rFonts w:ascii="Times New Roman" w:hAnsi="Times New Roman" w:cs="Times New Roman"/>
          <w:color w:val="000000" w:themeColor="text1"/>
          <w:sz w:val="22"/>
          <w:szCs w:val="22"/>
        </w:rPr>
        <w:t xml:space="preserve"> to justify a change in the Commission’s rules</w:t>
      </w:r>
      <w:r w:rsidR="00951697">
        <w:rPr>
          <w:rFonts w:ascii="Times New Roman" w:hAnsi="Times New Roman" w:cs="Times New Roman"/>
          <w:color w:val="000000" w:themeColor="text1"/>
          <w:sz w:val="22"/>
          <w:szCs w:val="22"/>
        </w:rPr>
        <w:t>?</w:t>
      </w:r>
      <w:r w:rsidR="009E07F3">
        <w:rPr>
          <w:rFonts w:ascii="Times New Roman" w:hAnsi="Times New Roman" w:cs="Times New Roman"/>
          <w:color w:val="000000" w:themeColor="text1"/>
          <w:sz w:val="22"/>
          <w:szCs w:val="22"/>
        </w:rPr>
        <w:t xml:space="preserve">  </w:t>
      </w:r>
    </w:p>
    <w:p w:rsidR="009E07F3" w:rsidP="00A03C73" w14:paraId="567B788C"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EB5259" w:rsidP="00A03C73" w14:paraId="512EE82A" w14:textId="695643C7">
      <w:pPr>
        <w:autoSpaceDE w:val="0"/>
        <w:autoSpaceDN w:val="0"/>
        <w:adjustRightInd w:val="0"/>
        <w:spacing w:after="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9B097C">
        <w:rPr>
          <w:rFonts w:ascii="Times New Roman" w:hAnsi="Times New Roman" w:cs="Times New Roman"/>
          <w:color w:val="000000" w:themeColor="text1"/>
          <w:sz w:val="22"/>
          <w:szCs w:val="22"/>
        </w:rPr>
        <w:t xml:space="preserve">The panel’s </w:t>
      </w:r>
      <w:r w:rsidR="00DD5C43">
        <w:rPr>
          <w:rFonts w:ascii="Times New Roman" w:hAnsi="Times New Roman" w:cs="Times New Roman"/>
          <w:color w:val="000000" w:themeColor="text1"/>
          <w:sz w:val="22"/>
          <w:szCs w:val="22"/>
        </w:rPr>
        <w:t>remand</w:t>
      </w:r>
      <w:r w:rsidR="0029734A">
        <w:rPr>
          <w:rFonts w:ascii="Times New Roman" w:hAnsi="Times New Roman" w:cs="Times New Roman"/>
          <w:color w:val="000000" w:themeColor="text1"/>
          <w:sz w:val="22"/>
          <w:szCs w:val="22"/>
        </w:rPr>
        <w:t xml:space="preserve">—both </w:t>
      </w:r>
      <w:r w:rsidR="009B097C">
        <w:rPr>
          <w:rFonts w:ascii="Times New Roman" w:hAnsi="Times New Roman" w:cs="Times New Roman"/>
          <w:color w:val="000000" w:themeColor="text1"/>
          <w:sz w:val="22"/>
          <w:szCs w:val="22"/>
        </w:rPr>
        <w:t>as to the</w:t>
      </w:r>
      <w:r w:rsidR="00DE2A0F">
        <w:rPr>
          <w:rFonts w:ascii="Times New Roman" w:hAnsi="Times New Roman" w:cs="Times New Roman"/>
          <w:color w:val="000000" w:themeColor="text1"/>
          <w:sz w:val="22"/>
          <w:szCs w:val="22"/>
        </w:rPr>
        <w:t xml:space="preserve"> Commission’s decision to maintain its existing testing procedures</w:t>
      </w:r>
      <w:r w:rsidR="0029734A">
        <w:rPr>
          <w:rFonts w:ascii="Times New Roman" w:hAnsi="Times New Roman" w:cs="Times New Roman"/>
          <w:color w:val="000000" w:themeColor="text1"/>
          <w:sz w:val="22"/>
          <w:szCs w:val="22"/>
        </w:rPr>
        <w:t xml:space="preserve">, </w:t>
      </w:r>
      <w:r w:rsidR="004D5C09">
        <w:rPr>
          <w:rFonts w:ascii="Times New Roman" w:hAnsi="Times New Roman" w:cs="Times New Roman"/>
          <w:color w:val="000000" w:themeColor="text1"/>
          <w:sz w:val="22"/>
          <w:szCs w:val="22"/>
        </w:rPr>
        <w:t xml:space="preserve">and </w:t>
      </w:r>
      <w:r w:rsidR="0029734A">
        <w:rPr>
          <w:rFonts w:ascii="Times New Roman" w:hAnsi="Times New Roman" w:cs="Times New Roman"/>
          <w:color w:val="000000" w:themeColor="text1"/>
          <w:sz w:val="22"/>
          <w:szCs w:val="22"/>
        </w:rPr>
        <w:t>the Commission’s</w:t>
      </w:r>
      <w:r w:rsidR="004D5C09">
        <w:rPr>
          <w:rFonts w:ascii="Times New Roman" w:hAnsi="Times New Roman" w:cs="Times New Roman"/>
          <w:color w:val="000000" w:themeColor="text1"/>
          <w:sz w:val="22"/>
          <w:szCs w:val="22"/>
        </w:rPr>
        <w:t xml:space="preserve"> </w:t>
      </w:r>
      <w:r w:rsidR="00EF0831">
        <w:rPr>
          <w:rFonts w:ascii="Times New Roman" w:hAnsi="Times New Roman" w:cs="Times New Roman"/>
          <w:color w:val="000000" w:themeColor="text1"/>
          <w:sz w:val="22"/>
          <w:szCs w:val="22"/>
        </w:rPr>
        <w:t>determination that</w:t>
      </w:r>
      <w:r w:rsidRPr="004D5C09" w:rsidR="004D5C09">
        <w:rPr>
          <w:rFonts w:ascii="Times New Roman" w:hAnsi="Times New Roman" w:cs="Times New Roman"/>
          <w:color w:val="000000" w:themeColor="text1"/>
          <w:sz w:val="22"/>
          <w:szCs w:val="22"/>
        </w:rPr>
        <w:t xml:space="preserve"> </w:t>
      </w:r>
      <w:r w:rsidR="00EF0831">
        <w:rPr>
          <w:rFonts w:ascii="Times New Roman" w:hAnsi="Times New Roman" w:cs="Times New Roman"/>
          <w:color w:val="000000" w:themeColor="text1"/>
          <w:sz w:val="22"/>
          <w:szCs w:val="22"/>
        </w:rPr>
        <w:t xml:space="preserve">its </w:t>
      </w:r>
      <w:r w:rsidR="0041578B">
        <w:rPr>
          <w:rFonts w:ascii="Times New Roman" w:hAnsi="Times New Roman" w:cs="Times New Roman"/>
          <w:color w:val="000000" w:themeColor="text1"/>
          <w:sz w:val="22"/>
          <w:szCs w:val="22"/>
        </w:rPr>
        <w:t>RF exposure</w:t>
      </w:r>
      <w:r w:rsidR="00EF0831">
        <w:rPr>
          <w:rFonts w:ascii="Times New Roman" w:hAnsi="Times New Roman" w:cs="Times New Roman"/>
          <w:color w:val="000000" w:themeColor="text1"/>
          <w:sz w:val="22"/>
          <w:szCs w:val="22"/>
        </w:rPr>
        <w:t xml:space="preserve"> limits</w:t>
      </w:r>
      <w:r w:rsidRPr="004D5C09" w:rsidR="004D5C09">
        <w:rPr>
          <w:rFonts w:ascii="Times New Roman" w:hAnsi="Times New Roman" w:cs="Times New Roman"/>
          <w:color w:val="000000" w:themeColor="text1"/>
          <w:sz w:val="22"/>
          <w:szCs w:val="22"/>
        </w:rPr>
        <w:t xml:space="preserve"> </w:t>
      </w:r>
      <w:r w:rsidR="00EF0831">
        <w:rPr>
          <w:rFonts w:ascii="Times New Roman" w:hAnsi="Times New Roman" w:cs="Times New Roman"/>
          <w:color w:val="000000" w:themeColor="text1"/>
          <w:sz w:val="22"/>
          <w:szCs w:val="22"/>
        </w:rPr>
        <w:t>did not pose adverse health effects</w:t>
      </w:r>
      <w:r w:rsidR="00E57809">
        <w:rPr>
          <w:rFonts w:ascii="Times New Roman" w:hAnsi="Times New Roman" w:cs="Times New Roman"/>
          <w:color w:val="000000" w:themeColor="text1"/>
          <w:sz w:val="22"/>
          <w:szCs w:val="22"/>
        </w:rPr>
        <w:t xml:space="preserve"> </w:t>
      </w:r>
      <w:r w:rsidR="00894310">
        <w:rPr>
          <w:rFonts w:ascii="Times New Roman" w:hAnsi="Times New Roman" w:cs="Times New Roman"/>
          <w:color w:val="000000" w:themeColor="text1"/>
          <w:sz w:val="22"/>
          <w:szCs w:val="22"/>
        </w:rPr>
        <w:t xml:space="preserve">to </w:t>
      </w:r>
      <w:r w:rsidR="00E57809">
        <w:rPr>
          <w:rFonts w:ascii="Times New Roman" w:hAnsi="Times New Roman" w:cs="Times New Roman"/>
          <w:color w:val="000000" w:themeColor="text1"/>
          <w:sz w:val="22"/>
          <w:szCs w:val="22"/>
        </w:rPr>
        <w:t>children</w:t>
      </w:r>
      <w:r w:rsidR="0029734A">
        <w:rPr>
          <w:rFonts w:ascii="Times New Roman" w:hAnsi="Times New Roman" w:cs="Times New Roman"/>
          <w:color w:val="000000" w:themeColor="text1"/>
          <w:sz w:val="22"/>
          <w:szCs w:val="22"/>
        </w:rPr>
        <w:t>—</w:t>
      </w:r>
      <w:r w:rsidR="00EF0831">
        <w:rPr>
          <w:rFonts w:ascii="Times New Roman" w:hAnsi="Times New Roman" w:cs="Times New Roman"/>
          <w:color w:val="000000" w:themeColor="text1"/>
          <w:sz w:val="22"/>
          <w:szCs w:val="22"/>
        </w:rPr>
        <w:t xml:space="preserve">flowed from the Commission’s purported </w:t>
      </w:r>
      <w:r w:rsidR="00B053D0">
        <w:rPr>
          <w:rFonts w:ascii="Times New Roman" w:hAnsi="Times New Roman" w:cs="Times New Roman"/>
          <w:color w:val="000000" w:themeColor="text1"/>
          <w:sz w:val="22"/>
          <w:szCs w:val="22"/>
        </w:rPr>
        <w:t xml:space="preserve">failure </w:t>
      </w:r>
      <w:r w:rsidR="00D7200B">
        <w:rPr>
          <w:rFonts w:ascii="Times New Roman" w:hAnsi="Times New Roman" w:cs="Times New Roman"/>
          <w:color w:val="000000" w:themeColor="text1"/>
          <w:sz w:val="22"/>
          <w:szCs w:val="22"/>
        </w:rPr>
        <w:t xml:space="preserve">to provide sufficient justification for its finding that </w:t>
      </w:r>
      <w:r w:rsidR="00DE2A0F">
        <w:rPr>
          <w:rFonts w:ascii="Times New Roman" w:hAnsi="Times New Roman" w:cs="Times New Roman"/>
          <w:color w:val="000000" w:themeColor="text1"/>
          <w:sz w:val="22"/>
          <w:szCs w:val="22"/>
        </w:rPr>
        <w:t>“</w:t>
      </w:r>
      <w:r w:rsidRPr="00DE2A0F" w:rsidR="00DE2A0F">
        <w:rPr>
          <w:rFonts w:ascii="Times New Roman" w:hAnsi="Times New Roman" w:cs="Times New Roman"/>
          <w:color w:val="000000" w:themeColor="text1"/>
          <w:sz w:val="22"/>
          <w:szCs w:val="22"/>
        </w:rPr>
        <w:t>exposure to RF radiation at levels below its current limits does not cause negative health effects unrelated to cancer</w:t>
      </w:r>
      <w:r w:rsidR="00DE2A0F">
        <w:rPr>
          <w:rFonts w:ascii="Times New Roman" w:hAnsi="Times New Roman" w:cs="Times New Roman"/>
          <w:color w:val="000000" w:themeColor="text1"/>
          <w:sz w:val="22"/>
          <w:szCs w:val="22"/>
        </w:rPr>
        <w:t>.”</w:t>
      </w:r>
      <w:r>
        <w:rPr>
          <w:rStyle w:val="FootnoteReference"/>
          <w:rFonts w:cs="Times New Roman"/>
          <w:szCs w:val="22"/>
        </w:rPr>
        <w:footnoteReference w:id="22"/>
      </w:r>
      <w:r w:rsidR="00DE2A0F">
        <w:rPr>
          <w:rFonts w:ascii="Times New Roman" w:hAnsi="Times New Roman" w:cs="Times New Roman"/>
          <w:color w:val="000000" w:themeColor="text1"/>
          <w:sz w:val="22"/>
          <w:szCs w:val="22"/>
        </w:rPr>
        <w:t xml:space="preserve">  </w:t>
      </w:r>
      <w:r w:rsidR="0041578B">
        <w:rPr>
          <w:rFonts w:ascii="Times New Roman" w:hAnsi="Times New Roman" w:cs="Times New Roman"/>
          <w:color w:val="000000" w:themeColor="text1"/>
          <w:sz w:val="22"/>
          <w:szCs w:val="22"/>
        </w:rPr>
        <w:t>In so finding, the</w:t>
      </w:r>
      <w:r w:rsidR="00C834AE">
        <w:rPr>
          <w:rFonts w:ascii="Times New Roman" w:hAnsi="Times New Roman" w:cs="Times New Roman"/>
          <w:color w:val="000000" w:themeColor="text1"/>
          <w:sz w:val="22"/>
          <w:szCs w:val="22"/>
        </w:rPr>
        <w:t xml:space="preserve"> panel pointed </w:t>
      </w:r>
      <w:r w:rsidR="00DC62D0">
        <w:rPr>
          <w:rFonts w:ascii="Times New Roman" w:hAnsi="Times New Roman" w:cs="Times New Roman"/>
          <w:color w:val="000000" w:themeColor="text1"/>
          <w:sz w:val="22"/>
          <w:szCs w:val="22"/>
        </w:rPr>
        <w:t xml:space="preserve">largely </w:t>
      </w:r>
      <w:r w:rsidR="00C834AE">
        <w:rPr>
          <w:rFonts w:ascii="Times New Roman" w:hAnsi="Times New Roman" w:cs="Times New Roman"/>
          <w:color w:val="000000" w:themeColor="text1"/>
          <w:sz w:val="22"/>
          <w:szCs w:val="22"/>
        </w:rPr>
        <w:t xml:space="preserve">to five articles </w:t>
      </w:r>
      <w:r>
        <w:rPr>
          <w:rFonts w:ascii="Times New Roman" w:hAnsi="Times New Roman" w:cs="Times New Roman"/>
          <w:color w:val="000000" w:themeColor="text1"/>
          <w:sz w:val="22"/>
          <w:szCs w:val="22"/>
        </w:rPr>
        <w:t xml:space="preserve">that the Commission did not </w:t>
      </w:r>
      <w:r w:rsidR="007423AF">
        <w:rPr>
          <w:rFonts w:ascii="Times New Roman" w:hAnsi="Times New Roman" w:cs="Times New Roman"/>
          <w:color w:val="000000" w:themeColor="text1"/>
          <w:sz w:val="22"/>
          <w:szCs w:val="22"/>
        </w:rPr>
        <w:t>discuss</w:t>
      </w:r>
      <w:r>
        <w:rPr>
          <w:rFonts w:ascii="Times New Roman" w:hAnsi="Times New Roman" w:cs="Times New Roman"/>
          <w:color w:val="000000" w:themeColor="text1"/>
          <w:sz w:val="22"/>
          <w:szCs w:val="22"/>
        </w:rPr>
        <w:t xml:space="preserve"> regarding </w:t>
      </w:r>
      <w:r w:rsidR="00C834AE">
        <w:rPr>
          <w:rFonts w:ascii="Times New Roman" w:hAnsi="Times New Roman" w:cs="Times New Roman"/>
          <w:color w:val="000000" w:themeColor="text1"/>
          <w:sz w:val="22"/>
          <w:szCs w:val="22"/>
        </w:rPr>
        <w:t xml:space="preserve">the </w:t>
      </w:r>
      <w:r>
        <w:rPr>
          <w:rFonts w:ascii="Times New Roman" w:hAnsi="Times New Roman" w:cs="Times New Roman"/>
          <w:color w:val="000000" w:themeColor="text1"/>
          <w:sz w:val="22"/>
          <w:szCs w:val="22"/>
        </w:rPr>
        <w:t xml:space="preserve">putative </w:t>
      </w:r>
      <w:r w:rsidR="00C834AE">
        <w:rPr>
          <w:rFonts w:ascii="Times New Roman" w:hAnsi="Times New Roman" w:cs="Times New Roman"/>
          <w:color w:val="000000" w:themeColor="text1"/>
          <w:sz w:val="22"/>
          <w:szCs w:val="22"/>
        </w:rPr>
        <w:t xml:space="preserve">non-cancerous effects of RF exposure </w:t>
      </w:r>
      <w:r w:rsidR="0041578B">
        <w:rPr>
          <w:rFonts w:ascii="Times New Roman" w:hAnsi="Times New Roman" w:cs="Times New Roman"/>
          <w:color w:val="000000" w:themeColor="text1"/>
          <w:sz w:val="22"/>
          <w:szCs w:val="22"/>
        </w:rPr>
        <w:t>below</w:t>
      </w:r>
      <w:r w:rsidR="00C834AE">
        <w:rPr>
          <w:rFonts w:ascii="Times New Roman" w:hAnsi="Times New Roman" w:cs="Times New Roman"/>
          <w:color w:val="000000" w:themeColor="text1"/>
          <w:sz w:val="22"/>
          <w:szCs w:val="22"/>
        </w:rPr>
        <w:t xml:space="preserve"> the prescribed levels.</w:t>
      </w:r>
      <w:r>
        <w:rPr>
          <w:rStyle w:val="FootnoteReference"/>
          <w:rFonts w:cs="Times New Roman"/>
          <w:szCs w:val="22"/>
        </w:rPr>
        <w:footnoteReference w:id="23"/>
      </w:r>
      <w:r w:rsidR="00C834AE">
        <w:rPr>
          <w:rFonts w:ascii="Times New Roman" w:hAnsi="Times New Roman" w:cs="Times New Roman"/>
          <w:color w:val="000000" w:themeColor="text1"/>
          <w:sz w:val="22"/>
          <w:szCs w:val="22"/>
        </w:rPr>
        <w:t xml:space="preserve">  </w:t>
      </w:r>
    </w:p>
    <w:p w:rsidR="00EB5259" w:rsidP="00A03C73" w14:paraId="42D264E5"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052FBA" w:rsidP="00A03C73" w14:paraId="3DBA9EB0" w14:textId="26F99DE9">
      <w:pPr>
        <w:autoSpaceDE w:val="0"/>
        <w:autoSpaceDN w:val="0"/>
        <w:adjustRightInd w:val="0"/>
        <w:spacing w:after="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We </w:t>
      </w:r>
      <w:r w:rsidR="00C434AF">
        <w:rPr>
          <w:rFonts w:ascii="Times New Roman" w:hAnsi="Times New Roman" w:cs="Times New Roman"/>
          <w:color w:val="000000" w:themeColor="text1"/>
          <w:sz w:val="22"/>
          <w:szCs w:val="22"/>
        </w:rPr>
        <w:t>seek comment on whether “</w:t>
      </w:r>
      <w:r w:rsidRPr="00C434AF" w:rsidR="00C434AF">
        <w:rPr>
          <w:rFonts w:ascii="Times New Roman" w:hAnsi="Times New Roman" w:cs="Times New Roman"/>
          <w:color w:val="000000" w:themeColor="text1"/>
          <w:sz w:val="22"/>
          <w:szCs w:val="22"/>
        </w:rPr>
        <w:t xml:space="preserve">the five articles on which the majority opinion </w:t>
      </w:r>
      <w:r w:rsidRPr="00C434AF" w:rsidR="00C434AF">
        <w:rPr>
          <w:rFonts w:ascii="Times New Roman" w:hAnsi="Times New Roman" w:cs="Times New Roman"/>
          <w:color w:val="000000" w:themeColor="text1"/>
          <w:sz w:val="22"/>
          <w:szCs w:val="22"/>
        </w:rPr>
        <w:t>relie</w:t>
      </w:r>
      <w:r w:rsidR="00921332">
        <w:rPr>
          <w:rFonts w:ascii="Times New Roman" w:hAnsi="Times New Roman" w:cs="Times New Roman"/>
          <w:color w:val="000000" w:themeColor="text1"/>
          <w:sz w:val="22"/>
          <w:szCs w:val="22"/>
        </w:rPr>
        <w:t>[d]</w:t>
      </w:r>
      <w:r w:rsidR="003E4C59">
        <w:rPr>
          <w:rFonts w:ascii="Times New Roman" w:hAnsi="Times New Roman" w:cs="Times New Roman"/>
          <w:color w:val="000000" w:themeColor="text1"/>
          <w:sz w:val="22"/>
          <w:szCs w:val="22"/>
        </w:rPr>
        <w:t xml:space="preserve"> … </w:t>
      </w:r>
      <w:r w:rsidRPr="00C434AF" w:rsidR="00C434AF">
        <w:rPr>
          <w:rFonts w:ascii="Times New Roman" w:hAnsi="Times New Roman" w:cs="Times New Roman"/>
          <w:color w:val="000000" w:themeColor="text1"/>
          <w:sz w:val="22"/>
          <w:szCs w:val="22"/>
        </w:rPr>
        <w:t>do not challenge a fundamental premise of the Commission’s order</w:t>
      </w:r>
      <w:r w:rsidR="00D35C52">
        <w:rPr>
          <w:rFonts w:ascii="Times New Roman" w:hAnsi="Times New Roman" w:cs="Times New Roman"/>
          <w:color w:val="000000" w:themeColor="text1"/>
          <w:sz w:val="22"/>
          <w:szCs w:val="22"/>
        </w:rPr>
        <w:t>”</w:t>
      </w:r>
      <w:r w:rsidR="00606A7D">
        <w:rPr>
          <w:rFonts w:ascii="Times New Roman" w:hAnsi="Times New Roman" w:cs="Times New Roman"/>
          <w:color w:val="000000" w:themeColor="text1"/>
          <w:sz w:val="22"/>
          <w:szCs w:val="22"/>
        </w:rPr>
        <w:t xml:space="preserve"> and </w:t>
      </w:r>
      <w:r w:rsidR="005C112C">
        <w:rPr>
          <w:rFonts w:ascii="Times New Roman" w:hAnsi="Times New Roman" w:cs="Times New Roman"/>
          <w:color w:val="000000" w:themeColor="text1"/>
          <w:sz w:val="22"/>
          <w:szCs w:val="22"/>
        </w:rPr>
        <w:t xml:space="preserve">we </w:t>
      </w:r>
      <w:r w:rsidR="00E74CA6">
        <w:rPr>
          <w:rFonts w:ascii="Times New Roman" w:hAnsi="Times New Roman" w:cs="Times New Roman"/>
          <w:color w:val="000000" w:themeColor="text1"/>
          <w:sz w:val="22"/>
          <w:szCs w:val="22"/>
        </w:rPr>
        <w:t xml:space="preserve">ask the same question as </w:t>
      </w:r>
      <w:r w:rsidR="002F31B8">
        <w:rPr>
          <w:rFonts w:ascii="Times New Roman" w:hAnsi="Times New Roman" w:cs="Times New Roman"/>
          <w:color w:val="000000" w:themeColor="text1"/>
          <w:sz w:val="22"/>
          <w:szCs w:val="22"/>
        </w:rPr>
        <w:t xml:space="preserve">to </w:t>
      </w:r>
      <w:r w:rsidR="00003CA1">
        <w:rPr>
          <w:rFonts w:ascii="Times New Roman" w:hAnsi="Times New Roman" w:cs="Times New Roman"/>
          <w:color w:val="000000" w:themeColor="text1"/>
          <w:sz w:val="22"/>
          <w:szCs w:val="22"/>
        </w:rPr>
        <w:t>any</w:t>
      </w:r>
      <w:r w:rsidR="008D7A3A">
        <w:rPr>
          <w:rFonts w:ascii="Times New Roman" w:hAnsi="Times New Roman" w:cs="Times New Roman"/>
          <w:color w:val="000000" w:themeColor="text1"/>
          <w:sz w:val="22"/>
          <w:szCs w:val="22"/>
        </w:rPr>
        <w:t xml:space="preserve"> </w:t>
      </w:r>
      <w:r w:rsidR="00F31E37">
        <w:rPr>
          <w:rFonts w:ascii="Times New Roman" w:hAnsi="Times New Roman" w:cs="Times New Roman"/>
          <w:color w:val="000000" w:themeColor="text1"/>
          <w:sz w:val="22"/>
          <w:szCs w:val="22"/>
        </w:rPr>
        <w:t xml:space="preserve">record </w:t>
      </w:r>
      <w:r w:rsidR="008D7A3A">
        <w:rPr>
          <w:rFonts w:ascii="Times New Roman" w:hAnsi="Times New Roman" w:cs="Times New Roman"/>
          <w:color w:val="000000" w:themeColor="text1"/>
          <w:sz w:val="22"/>
          <w:szCs w:val="22"/>
        </w:rPr>
        <w:t xml:space="preserve">information that the panel </w:t>
      </w:r>
      <w:r w:rsidR="00F31E37">
        <w:rPr>
          <w:rFonts w:ascii="Times New Roman" w:hAnsi="Times New Roman" w:cs="Times New Roman"/>
          <w:color w:val="000000" w:themeColor="text1"/>
          <w:sz w:val="22"/>
          <w:szCs w:val="22"/>
        </w:rPr>
        <w:t xml:space="preserve">identified </w:t>
      </w:r>
      <w:r w:rsidR="000B000F">
        <w:rPr>
          <w:rFonts w:ascii="Times New Roman" w:hAnsi="Times New Roman" w:cs="Times New Roman"/>
          <w:color w:val="000000" w:themeColor="text1"/>
          <w:sz w:val="22"/>
          <w:szCs w:val="22"/>
        </w:rPr>
        <w:t>in arriving at its holding</w:t>
      </w:r>
      <w:r w:rsidR="00A40200">
        <w:rPr>
          <w:rFonts w:ascii="Times New Roman" w:hAnsi="Times New Roman" w:cs="Times New Roman"/>
          <w:color w:val="000000" w:themeColor="text1"/>
          <w:sz w:val="22"/>
          <w:szCs w:val="22"/>
        </w:rPr>
        <w:t>.</w:t>
      </w:r>
      <w:r>
        <w:rPr>
          <w:rStyle w:val="FootnoteReference"/>
          <w:rFonts w:cs="Times New Roman"/>
          <w:szCs w:val="22"/>
        </w:rPr>
        <w:footnoteReference w:id="24"/>
      </w:r>
      <w:r w:rsidR="00A40200">
        <w:rPr>
          <w:rFonts w:ascii="Times New Roman" w:hAnsi="Times New Roman" w:cs="Times New Roman"/>
          <w:color w:val="000000" w:themeColor="text1"/>
          <w:sz w:val="22"/>
          <w:szCs w:val="22"/>
        </w:rPr>
        <w:t xml:space="preserve">  </w:t>
      </w:r>
    </w:p>
    <w:p w:rsidR="00052FBA" w:rsidP="00052FBA" w14:paraId="396E7B3A"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052FBA" w:rsidP="00052FBA" w14:paraId="4107F118" w14:textId="77777777">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 xml:space="preserve">One such article, the dissenting opinion noted, </w:t>
      </w:r>
      <w:r w:rsidRPr="00D77547" w:rsidR="00C434AF">
        <w:rPr>
          <w:rFonts w:ascii="Times New Roman" w:hAnsi="Times New Roman" w:cs="Times New Roman"/>
          <w:color w:val="000000" w:themeColor="text1"/>
          <w:sz w:val="22"/>
          <w:szCs w:val="22"/>
        </w:rPr>
        <w:t xml:space="preserve">purported to present evidence of non-cancerous “oxidative effects” but conceded </w:t>
      </w:r>
      <w:r w:rsidRPr="00D77547">
        <w:rPr>
          <w:rFonts w:ascii="Times New Roman" w:hAnsi="Times New Roman" w:cs="Times New Roman"/>
          <w:color w:val="000000" w:themeColor="text1"/>
          <w:sz w:val="22"/>
          <w:szCs w:val="22"/>
        </w:rPr>
        <w:t>that it “</w:t>
      </w:r>
      <w:r w:rsidRPr="003D6D70" w:rsidR="00C434AF">
        <w:rPr>
          <w:rFonts w:ascii="Times New Roman" w:hAnsi="Times New Roman" w:cs="Times New Roman"/>
          <w:i/>
          <w:color w:val="000000" w:themeColor="text1"/>
          <w:sz w:val="22"/>
          <w:szCs w:val="22"/>
        </w:rPr>
        <w:t>[did]</w:t>
      </w:r>
      <w:r w:rsidRPr="003D6D70">
        <w:rPr>
          <w:rFonts w:ascii="Times New Roman" w:hAnsi="Times New Roman" w:cs="Times New Roman"/>
          <w:i/>
          <w:color w:val="000000" w:themeColor="text1"/>
          <w:sz w:val="22"/>
          <w:szCs w:val="22"/>
        </w:rPr>
        <w:t xml:space="preserve"> not provide conclusive evidence </w:t>
      </w:r>
      <w:r w:rsidRPr="00D77547">
        <w:rPr>
          <w:rFonts w:ascii="Times New Roman" w:hAnsi="Times New Roman" w:cs="Times New Roman"/>
          <w:color w:val="000000" w:themeColor="text1"/>
          <w:sz w:val="22"/>
          <w:szCs w:val="22"/>
        </w:rPr>
        <w:t xml:space="preserve">of causal effects and should be </w:t>
      </w:r>
      <w:r w:rsidRPr="003D6D70">
        <w:rPr>
          <w:rFonts w:ascii="Times New Roman" w:hAnsi="Times New Roman" w:cs="Times New Roman"/>
          <w:i/>
          <w:color w:val="000000" w:themeColor="text1"/>
          <w:sz w:val="22"/>
          <w:szCs w:val="22"/>
        </w:rPr>
        <w:t>interpreted with caution</w:t>
      </w:r>
      <w:r w:rsidRPr="00D77547">
        <w:rPr>
          <w:rFonts w:ascii="Times New Roman" w:hAnsi="Times New Roman" w:cs="Times New Roman"/>
          <w:color w:val="000000" w:themeColor="text1"/>
          <w:sz w:val="22"/>
          <w:szCs w:val="22"/>
        </w:rPr>
        <w:t xml:space="preserve"> until confirmed in other population.”</w:t>
      </w:r>
      <w:r>
        <w:rPr>
          <w:rStyle w:val="FootnoteReference"/>
          <w:rFonts w:cs="Times New Roman"/>
          <w:szCs w:val="22"/>
        </w:rPr>
        <w:footnoteReference w:id="25"/>
      </w:r>
      <w:r w:rsidRPr="00D77547">
        <w:rPr>
          <w:rFonts w:ascii="Times New Roman" w:hAnsi="Times New Roman" w:cs="Times New Roman"/>
          <w:color w:val="000000" w:themeColor="text1"/>
          <w:sz w:val="22"/>
          <w:szCs w:val="22"/>
        </w:rPr>
        <w:t xml:space="preserve">  </w:t>
      </w:r>
    </w:p>
    <w:p w:rsidR="00052FBA" w:rsidP="00BD6F70" w14:paraId="2637910E" w14:textId="77777777">
      <w:pPr>
        <w:pStyle w:val="ListParagraph"/>
        <w:autoSpaceDE w:val="0"/>
        <w:autoSpaceDN w:val="0"/>
        <w:adjustRightInd w:val="0"/>
        <w:spacing w:after="0" w:line="240" w:lineRule="auto"/>
        <w:rPr>
          <w:rFonts w:ascii="Times New Roman" w:hAnsi="Times New Roman" w:cs="Times New Roman"/>
          <w:color w:val="000000" w:themeColor="text1"/>
          <w:sz w:val="22"/>
          <w:szCs w:val="22"/>
        </w:rPr>
      </w:pPr>
    </w:p>
    <w:p w:rsidR="00052FBA" w:rsidP="00052FBA" w14:paraId="66D9845C" w14:textId="79EABE72">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 xml:space="preserve">Another meta-analysis, </w:t>
      </w:r>
      <w:r w:rsidR="0022617B">
        <w:rPr>
          <w:rFonts w:ascii="Times New Roman" w:hAnsi="Times New Roman" w:cs="Times New Roman"/>
          <w:color w:val="000000" w:themeColor="text1"/>
          <w:sz w:val="22"/>
          <w:szCs w:val="22"/>
        </w:rPr>
        <w:t xml:space="preserve">the dissent observed, </w:t>
      </w:r>
      <w:r w:rsidRPr="00BD6F70">
        <w:rPr>
          <w:rFonts w:ascii="Times New Roman" w:hAnsi="Times New Roman" w:cs="Times New Roman"/>
          <w:color w:val="000000" w:themeColor="text1"/>
          <w:sz w:val="22"/>
          <w:szCs w:val="22"/>
        </w:rPr>
        <w:t>summarized the results of human studies on the behavioral effects of RF radiation</w:t>
      </w:r>
      <w:r w:rsidR="00E82168">
        <w:rPr>
          <w:rFonts w:ascii="Times New Roman" w:hAnsi="Times New Roman" w:cs="Times New Roman"/>
          <w:color w:val="000000" w:themeColor="text1"/>
          <w:sz w:val="22"/>
          <w:szCs w:val="22"/>
        </w:rPr>
        <w:t xml:space="preserve"> and</w:t>
      </w:r>
      <w:r w:rsidRPr="00BD6F70">
        <w:rPr>
          <w:rFonts w:ascii="Times New Roman" w:hAnsi="Times New Roman" w:cs="Times New Roman"/>
          <w:color w:val="000000" w:themeColor="text1"/>
          <w:sz w:val="22"/>
          <w:szCs w:val="22"/>
        </w:rPr>
        <w:t xml:space="preserve"> identified “31 studies that showed no significant behavioral effects compared to 20 studies that showed behavioral effects</w:t>
      </w:r>
      <w:r w:rsidRPr="00BD6F70" w:rsidR="00C434AF">
        <w:rPr>
          <w:rFonts w:ascii="Times New Roman" w:hAnsi="Times New Roman" w:cs="Times New Roman"/>
          <w:color w:val="000000" w:themeColor="text1"/>
          <w:sz w:val="22"/>
          <w:szCs w:val="22"/>
        </w:rPr>
        <w:t>,” including “four [that] found behavioral improvements, not negative health effects.”</w:t>
      </w:r>
      <w:r>
        <w:rPr>
          <w:rStyle w:val="FootnoteReference"/>
          <w:rFonts w:cs="Times New Roman"/>
          <w:szCs w:val="22"/>
        </w:rPr>
        <w:footnoteReference w:id="26"/>
      </w:r>
      <w:r w:rsidRPr="00D77547" w:rsidR="00C434AF">
        <w:rPr>
          <w:rFonts w:ascii="Times New Roman" w:hAnsi="Times New Roman" w:cs="Times New Roman"/>
          <w:color w:val="000000" w:themeColor="text1"/>
          <w:sz w:val="22"/>
          <w:szCs w:val="22"/>
        </w:rPr>
        <w:t xml:space="preserve">  </w:t>
      </w:r>
    </w:p>
    <w:p w:rsidR="00052FBA" w:rsidRPr="00D77547" w:rsidP="00BD6F70" w14:paraId="41B79949" w14:textId="77777777">
      <w:pPr>
        <w:pStyle w:val="ListParagraph"/>
        <w:rPr>
          <w:rFonts w:ascii="Times New Roman" w:hAnsi="Times New Roman" w:cs="Times New Roman"/>
          <w:color w:val="000000" w:themeColor="text1"/>
          <w:sz w:val="22"/>
          <w:szCs w:val="22"/>
        </w:rPr>
      </w:pPr>
    </w:p>
    <w:p w:rsidR="00B660B4" w:rsidP="00052FBA" w14:paraId="6CE343DD" w14:textId="77777777">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Yet another, according to the dissent, failed to “address the critical issue—whether RF radiation below the Commission’s current limits can cause negative health effects” because it examined the International Commission on Non-Ionizing Radiation Protection’s (ICNIRP) recommended RF exposure limit, which “is significantly higher than the Commission’s current limit—0.08 W/kg averaged over the whole body and a peak spatial-average of 1.6 W/kg over any 1 gram of tissue.”</w:t>
      </w:r>
      <w:r>
        <w:rPr>
          <w:rStyle w:val="FootnoteReference"/>
          <w:rFonts w:cs="Times New Roman"/>
          <w:szCs w:val="22"/>
        </w:rPr>
        <w:footnoteReference w:id="27"/>
      </w:r>
      <w:r w:rsidRPr="00D77547">
        <w:rPr>
          <w:rFonts w:ascii="Times New Roman" w:hAnsi="Times New Roman" w:cs="Times New Roman"/>
          <w:color w:val="000000" w:themeColor="text1"/>
          <w:sz w:val="22"/>
          <w:szCs w:val="22"/>
        </w:rPr>
        <w:t xml:space="preserve">  </w:t>
      </w:r>
    </w:p>
    <w:p w:rsidR="00B660B4" w:rsidRPr="00D77547" w:rsidP="00BD6F70" w14:paraId="65AF6D3E" w14:textId="77777777">
      <w:pPr>
        <w:pStyle w:val="ListParagraph"/>
        <w:rPr>
          <w:rFonts w:ascii="Times New Roman" w:hAnsi="Times New Roman" w:cs="Times New Roman"/>
          <w:color w:val="000000" w:themeColor="text1"/>
          <w:sz w:val="22"/>
          <w:szCs w:val="22"/>
        </w:rPr>
      </w:pPr>
    </w:p>
    <w:p w:rsidR="00975472" w:rsidP="00052FBA" w14:paraId="3535EFBD" w14:textId="39FA286A">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And yet another</w:t>
      </w:r>
      <w:r w:rsidR="0022617B">
        <w:rPr>
          <w:rFonts w:ascii="Times New Roman" w:hAnsi="Times New Roman" w:cs="Times New Roman"/>
          <w:color w:val="000000" w:themeColor="text1"/>
          <w:sz w:val="22"/>
          <w:szCs w:val="22"/>
        </w:rPr>
        <w:t>, the dissent noted,</w:t>
      </w:r>
      <w:r w:rsidRPr="00D77547">
        <w:rPr>
          <w:rFonts w:ascii="Times New Roman" w:hAnsi="Times New Roman" w:cs="Times New Roman"/>
          <w:color w:val="000000" w:themeColor="text1"/>
          <w:sz w:val="22"/>
          <w:szCs w:val="22"/>
        </w:rPr>
        <w:t xml:space="preserve"> acknowledged that “the health effects of [exposure to radiofrequency electromagnetic fields (RF-EMFs)] are still unknown … </w:t>
      </w:r>
      <w:r w:rsidRPr="00D77547" w:rsidR="00FB505B">
        <w:rPr>
          <w:rFonts w:ascii="Times New Roman" w:hAnsi="Times New Roman" w:cs="Times New Roman"/>
          <w:color w:val="000000" w:themeColor="text1"/>
          <w:sz w:val="22"/>
          <w:szCs w:val="22"/>
        </w:rPr>
        <w:t>[</w:t>
      </w:r>
      <w:r w:rsidRPr="00D77547">
        <w:rPr>
          <w:rFonts w:ascii="Times New Roman" w:hAnsi="Times New Roman" w:cs="Times New Roman"/>
          <w:color w:val="000000" w:themeColor="text1"/>
          <w:sz w:val="22"/>
          <w:szCs w:val="22"/>
        </w:rPr>
        <w:t>and</w:t>
      </w:r>
      <w:r w:rsidRPr="00D77547" w:rsidR="00FB505B">
        <w:rPr>
          <w:rFonts w:ascii="Times New Roman" w:hAnsi="Times New Roman" w:cs="Times New Roman"/>
          <w:color w:val="000000" w:themeColor="text1"/>
          <w:sz w:val="22"/>
          <w:szCs w:val="22"/>
        </w:rPr>
        <w:t>]</w:t>
      </w:r>
      <w:r w:rsidRPr="00D77547">
        <w:rPr>
          <w:rFonts w:ascii="Times New Roman" w:hAnsi="Times New Roman" w:cs="Times New Roman"/>
          <w:color w:val="000000" w:themeColor="text1"/>
          <w:sz w:val="22"/>
          <w:szCs w:val="22"/>
        </w:rPr>
        <w:t xml:space="preserve"> to date studies addressing this topic have produced inconsistent results.”</w:t>
      </w:r>
      <w:r>
        <w:rPr>
          <w:rStyle w:val="FootnoteReference"/>
          <w:rFonts w:cs="Times New Roman"/>
          <w:szCs w:val="22"/>
        </w:rPr>
        <w:footnoteReference w:id="28"/>
      </w:r>
      <w:r w:rsidRPr="00D77547">
        <w:rPr>
          <w:rFonts w:ascii="Times New Roman" w:hAnsi="Times New Roman" w:cs="Times New Roman"/>
          <w:color w:val="000000" w:themeColor="text1"/>
          <w:sz w:val="22"/>
          <w:szCs w:val="22"/>
        </w:rPr>
        <w:t xml:space="preserve">  </w:t>
      </w:r>
    </w:p>
    <w:p w:rsidR="00975472" w:rsidRPr="00D77547" w:rsidP="00BD6F70" w14:paraId="713AE3A0" w14:textId="77777777">
      <w:pPr>
        <w:pStyle w:val="ListParagraph"/>
        <w:rPr>
          <w:rFonts w:ascii="Times New Roman" w:hAnsi="Times New Roman" w:cs="Times New Roman"/>
          <w:color w:val="000000" w:themeColor="text1"/>
          <w:sz w:val="22"/>
          <w:szCs w:val="22"/>
        </w:rPr>
      </w:pPr>
    </w:p>
    <w:p w:rsidR="00975472" w:rsidP="00052FBA" w14:paraId="128AA0C9" w14:textId="4C1D31B9">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Still another</w:t>
      </w:r>
      <w:r w:rsidR="0022617B">
        <w:rPr>
          <w:rFonts w:ascii="Times New Roman" w:hAnsi="Times New Roman" w:cs="Times New Roman"/>
          <w:color w:val="000000" w:themeColor="text1"/>
          <w:sz w:val="22"/>
          <w:szCs w:val="22"/>
        </w:rPr>
        <w:t>, according to the dissent,</w:t>
      </w:r>
      <w:r w:rsidRPr="00D77547">
        <w:rPr>
          <w:rFonts w:ascii="Times New Roman" w:hAnsi="Times New Roman" w:cs="Times New Roman"/>
          <w:color w:val="000000" w:themeColor="text1"/>
          <w:sz w:val="22"/>
          <w:szCs w:val="22"/>
        </w:rPr>
        <w:t xml:space="preserve"> “found decreases in figural memory” but acknowledged that “some experimental and epidemiological studies on RF-EMF found improvements in working memory performance.”</w:t>
      </w:r>
      <w:r>
        <w:rPr>
          <w:rStyle w:val="FootnoteReference"/>
          <w:rFonts w:cs="Times New Roman"/>
          <w:szCs w:val="22"/>
        </w:rPr>
        <w:footnoteReference w:id="29"/>
      </w:r>
      <w:r w:rsidRPr="00D77547">
        <w:rPr>
          <w:rFonts w:ascii="Times New Roman" w:hAnsi="Times New Roman" w:cs="Times New Roman"/>
          <w:color w:val="000000" w:themeColor="text1"/>
          <w:sz w:val="22"/>
          <w:szCs w:val="22"/>
        </w:rPr>
        <w:t xml:space="preserve">  </w:t>
      </w:r>
    </w:p>
    <w:p w:rsidR="00975472" w:rsidRPr="00D77547" w:rsidP="00BD6F70" w14:paraId="6B46EC93" w14:textId="77777777">
      <w:pPr>
        <w:pStyle w:val="ListParagraph"/>
        <w:rPr>
          <w:rFonts w:ascii="Times New Roman" w:hAnsi="Times New Roman" w:cs="Times New Roman"/>
          <w:color w:val="000000" w:themeColor="text1"/>
          <w:sz w:val="22"/>
          <w:szCs w:val="22"/>
        </w:rPr>
      </w:pPr>
    </w:p>
    <w:p w:rsidR="00975472" w:rsidP="00052FBA" w14:paraId="12CA50D5" w14:textId="77777777">
      <w:pPr>
        <w:pStyle w:val="ListParagraph"/>
        <w:numPr>
          <w:ilvl w:val="0"/>
          <w:numId w:val="27"/>
        </w:num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 xml:space="preserve">And </w:t>
      </w:r>
      <w:r w:rsidRPr="00D77547" w:rsidR="00E44E8E">
        <w:rPr>
          <w:rFonts w:ascii="Times New Roman" w:hAnsi="Times New Roman" w:cs="Times New Roman"/>
          <w:color w:val="000000" w:themeColor="text1"/>
          <w:sz w:val="22"/>
          <w:szCs w:val="22"/>
        </w:rPr>
        <w:t>a final study</w:t>
      </w:r>
      <w:r w:rsidRPr="00D77547">
        <w:rPr>
          <w:rFonts w:ascii="Times New Roman" w:hAnsi="Times New Roman" w:cs="Times New Roman"/>
          <w:color w:val="000000" w:themeColor="text1"/>
          <w:sz w:val="22"/>
          <w:szCs w:val="22"/>
        </w:rPr>
        <w:t>, the dissenting opinion remarked, was “hardly worth discussing because the self-published report has been widely discredited as a biased review of the science.”</w:t>
      </w:r>
      <w:r>
        <w:rPr>
          <w:rStyle w:val="FootnoteReference"/>
          <w:rFonts w:cs="Times New Roman"/>
          <w:szCs w:val="22"/>
        </w:rPr>
        <w:footnoteReference w:id="30"/>
      </w:r>
      <w:r w:rsidRPr="00D77547">
        <w:rPr>
          <w:rFonts w:ascii="Times New Roman" w:hAnsi="Times New Roman" w:cs="Times New Roman"/>
          <w:color w:val="000000" w:themeColor="text1"/>
          <w:sz w:val="22"/>
          <w:szCs w:val="22"/>
        </w:rPr>
        <w:t xml:space="preserve">  </w:t>
      </w:r>
    </w:p>
    <w:p w:rsidR="00975472" w:rsidP="00975472" w14:paraId="25F4CB4B"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9E07F3" w:rsidRPr="00D77547" w:rsidP="00D77547" w14:paraId="14F3E3DD" w14:textId="48DB73C3">
      <w:pPr>
        <w:autoSpaceDE w:val="0"/>
        <w:autoSpaceDN w:val="0"/>
        <w:adjustRightInd w:val="0"/>
        <w:spacing w:after="0" w:line="240" w:lineRule="auto"/>
        <w:rPr>
          <w:rFonts w:ascii="Times New Roman" w:hAnsi="Times New Roman" w:cs="Times New Roman"/>
          <w:color w:val="000000" w:themeColor="text1"/>
          <w:sz w:val="22"/>
          <w:szCs w:val="22"/>
        </w:rPr>
      </w:pPr>
      <w:r w:rsidRPr="00D77547">
        <w:rPr>
          <w:rFonts w:ascii="Times New Roman" w:hAnsi="Times New Roman" w:cs="Times New Roman"/>
          <w:color w:val="000000" w:themeColor="text1"/>
          <w:sz w:val="22"/>
          <w:szCs w:val="22"/>
        </w:rPr>
        <w:t xml:space="preserve">We seek comment on the foregoing discussion </w:t>
      </w:r>
      <w:r w:rsidRPr="00D77547" w:rsidR="00B92D62">
        <w:rPr>
          <w:rFonts w:ascii="Times New Roman" w:hAnsi="Times New Roman" w:cs="Times New Roman"/>
          <w:color w:val="000000" w:themeColor="text1"/>
          <w:sz w:val="22"/>
          <w:szCs w:val="22"/>
        </w:rPr>
        <w:t>regarding the credibility and probative value of</w:t>
      </w:r>
      <w:r w:rsidRPr="00D77547">
        <w:rPr>
          <w:rFonts w:ascii="Times New Roman" w:hAnsi="Times New Roman" w:cs="Times New Roman"/>
          <w:color w:val="000000" w:themeColor="text1"/>
          <w:sz w:val="22"/>
          <w:szCs w:val="22"/>
        </w:rPr>
        <w:t xml:space="preserve"> these studies.  </w:t>
      </w:r>
    </w:p>
    <w:p w:rsidR="00921332" w:rsidP="00A03C73" w14:paraId="765BF55F"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921332" w:rsidP="00A03C73" w14:paraId="17D097DB" w14:textId="08DD0207">
      <w:pPr>
        <w:autoSpaceDE w:val="0"/>
        <w:autoSpaceDN w:val="0"/>
        <w:adjustRightInd w:val="0"/>
        <w:spacing w:after="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With respect to environmental considerations, the panel faulted the Commission for </w:t>
      </w:r>
      <w:r w:rsidR="000034AC">
        <w:rPr>
          <w:rFonts w:ascii="Times New Roman" w:hAnsi="Times New Roman" w:cs="Times New Roman"/>
          <w:color w:val="000000" w:themeColor="text1"/>
          <w:sz w:val="22"/>
          <w:szCs w:val="22"/>
        </w:rPr>
        <w:t>not</w:t>
      </w:r>
      <w:r>
        <w:rPr>
          <w:rFonts w:ascii="Times New Roman" w:hAnsi="Times New Roman" w:cs="Times New Roman"/>
          <w:color w:val="000000" w:themeColor="text1"/>
          <w:sz w:val="22"/>
          <w:szCs w:val="22"/>
        </w:rPr>
        <w:t xml:space="preserve"> </w:t>
      </w:r>
      <w:r w:rsidR="00D42236">
        <w:rPr>
          <w:rFonts w:ascii="Times New Roman" w:hAnsi="Times New Roman" w:cs="Times New Roman"/>
          <w:color w:val="000000" w:themeColor="text1"/>
          <w:sz w:val="22"/>
          <w:szCs w:val="22"/>
        </w:rPr>
        <w:t>discuss</w:t>
      </w:r>
      <w:r w:rsidR="000034AC">
        <w:rPr>
          <w:rFonts w:ascii="Times New Roman" w:hAnsi="Times New Roman" w:cs="Times New Roman"/>
          <w:color w:val="000000" w:themeColor="text1"/>
          <w:sz w:val="22"/>
          <w:szCs w:val="22"/>
        </w:rPr>
        <w:t>ing</w:t>
      </w:r>
      <w:r>
        <w:rPr>
          <w:rFonts w:ascii="Times New Roman" w:hAnsi="Times New Roman" w:cs="Times New Roman"/>
          <w:color w:val="000000" w:themeColor="text1"/>
          <w:sz w:val="22"/>
          <w:szCs w:val="22"/>
        </w:rPr>
        <w:t xml:space="preserve"> a</w:t>
      </w:r>
      <w:r w:rsidR="006B7119">
        <w:rPr>
          <w:rFonts w:ascii="Times New Roman" w:hAnsi="Times New Roman" w:cs="Times New Roman"/>
          <w:color w:val="000000" w:themeColor="text1"/>
          <w:sz w:val="22"/>
          <w:szCs w:val="22"/>
        </w:rPr>
        <w:t xml:space="preserve"> 2014</w:t>
      </w:r>
      <w:r>
        <w:rPr>
          <w:rFonts w:ascii="Times New Roman" w:hAnsi="Times New Roman" w:cs="Times New Roman"/>
          <w:color w:val="000000" w:themeColor="text1"/>
          <w:sz w:val="22"/>
          <w:szCs w:val="22"/>
        </w:rPr>
        <w:t xml:space="preserve"> letter from the Department of Interior on the impact of communications towers to migratory birds.</w:t>
      </w:r>
      <w:r>
        <w:rPr>
          <w:rStyle w:val="FootnoteReference"/>
          <w:rFonts w:cs="Times New Roman"/>
          <w:szCs w:val="22"/>
        </w:rPr>
        <w:footnoteReference w:id="31"/>
      </w:r>
      <w:r w:rsidR="00F93E0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As the </w:t>
      </w:r>
      <w:r w:rsidR="00457E50">
        <w:rPr>
          <w:rFonts w:ascii="Times New Roman" w:hAnsi="Times New Roman" w:cs="Times New Roman"/>
          <w:color w:val="000000" w:themeColor="text1"/>
          <w:sz w:val="22"/>
          <w:szCs w:val="22"/>
        </w:rPr>
        <w:t>dissent</w:t>
      </w:r>
      <w:r w:rsidR="00684182">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noted, the Department of Interior</w:t>
      </w:r>
      <w:r w:rsidR="00AA68AF">
        <w:rPr>
          <w:rFonts w:ascii="Times New Roman" w:hAnsi="Times New Roman" w:cs="Times New Roman"/>
          <w:color w:val="000000" w:themeColor="text1"/>
          <w:sz w:val="22"/>
          <w:szCs w:val="22"/>
        </w:rPr>
        <w:t>’s</w:t>
      </w:r>
      <w:r>
        <w:rPr>
          <w:rFonts w:ascii="Times New Roman" w:hAnsi="Times New Roman" w:cs="Times New Roman"/>
          <w:color w:val="000000" w:themeColor="text1"/>
          <w:sz w:val="22"/>
          <w:szCs w:val="22"/>
        </w:rPr>
        <w:t xml:space="preserve"> letter found that</w:t>
      </w:r>
      <w:r w:rsidR="00684182">
        <w:rPr>
          <w:rFonts w:ascii="Times New Roman" w:hAnsi="Times New Roman" w:cs="Times New Roman"/>
          <w:color w:val="000000" w:themeColor="text1"/>
          <w:sz w:val="22"/>
          <w:szCs w:val="22"/>
        </w:rPr>
        <w:t xml:space="preserve"> </w:t>
      </w:r>
      <w:r w:rsidRPr="00921332">
        <w:rPr>
          <w:rFonts w:ascii="Times New Roman" w:hAnsi="Times New Roman" w:cs="Times New Roman"/>
          <w:color w:val="000000" w:themeColor="text1"/>
          <w:sz w:val="22"/>
          <w:szCs w:val="22"/>
        </w:rPr>
        <w:t>“no independent, third-party field studies have been conducted in North America on impacts of tower electromagnetic radiation on migratory birds.”</w:t>
      </w:r>
      <w:r>
        <w:rPr>
          <w:rStyle w:val="FootnoteReference"/>
          <w:rFonts w:cs="Times New Roman"/>
          <w:szCs w:val="22"/>
        </w:rPr>
        <w:footnoteReference w:id="32"/>
      </w:r>
      <w:r>
        <w:rPr>
          <w:rFonts w:ascii="Times New Roman" w:hAnsi="Times New Roman" w:cs="Times New Roman"/>
          <w:color w:val="000000" w:themeColor="text1"/>
          <w:sz w:val="22"/>
          <w:szCs w:val="22"/>
        </w:rPr>
        <w:t xml:space="preserve">  We seek comment on the probative value of the Department of Interior’s letter.  </w:t>
      </w:r>
    </w:p>
    <w:p w:rsidR="009E07F3" w:rsidP="00A03C73" w14:paraId="679C61D7" w14:textId="77777777">
      <w:pPr>
        <w:autoSpaceDE w:val="0"/>
        <w:autoSpaceDN w:val="0"/>
        <w:adjustRightInd w:val="0"/>
        <w:spacing w:after="0" w:line="240" w:lineRule="auto"/>
        <w:jc w:val="center"/>
        <w:rPr>
          <w:rFonts w:ascii="Times New Roman" w:hAnsi="Times New Roman" w:cs="Times New Roman"/>
          <w:color w:val="000000" w:themeColor="text1"/>
          <w:sz w:val="22"/>
          <w:szCs w:val="22"/>
        </w:rPr>
      </w:pPr>
    </w:p>
    <w:p w:rsidR="009E07F3" w:rsidP="00A03C73" w14:paraId="59AED23D" w14:textId="0E8FFC74">
      <w:pPr>
        <w:autoSpaceDE w:val="0"/>
        <w:autoSpaceDN w:val="0"/>
        <w:adjustRightInd w:val="0"/>
        <w:spacing w:after="0" w:line="24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ab/>
        <w:t>*</w:t>
      </w:r>
      <w:r>
        <w:rPr>
          <w:rFonts w:ascii="Times New Roman" w:hAnsi="Times New Roman" w:cs="Times New Roman"/>
          <w:color w:val="000000" w:themeColor="text1"/>
          <w:sz w:val="22"/>
          <w:szCs w:val="22"/>
        </w:rPr>
        <w:tab/>
        <w:t>*</w:t>
      </w:r>
    </w:p>
    <w:p w:rsidR="00D35C52" w:rsidP="00A03C73" w14:paraId="2D23723E"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34050C" w:rsidP="00A03C73" w14:paraId="1D847BE8" w14:textId="0C928EC3">
      <w:pPr>
        <w:autoSpaceDE w:val="0"/>
        <w:autoSpaceDN w:val="0"/>
        <w:adjustRightInd w:val="0"/>
        <w:spacing w:after="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2F6059">
        <w:rPr>
          <w:rFonts w:ascii="Times New Roman" w:hAnsi="Times New Roman" w:cs="Times New Roman"/>
          <w:color w:val="000000" w:themeColor="text1"/>
          <w:sz w:val="22"/>
          <w:szCs w:val="22"/>
        </w:rPr>
        <w:t>Beyond the submissions discussed in</w:t>
      </w:r>
      <w:r w:rsidR="00B55014">
        <w:rPr>
          <w:rFonts w:ascii="Times New Roman" w:hAnsi="Times New Roman" w:cs="Times New Roman"/>
          <w:color w:val="000000" w:themeColor="text1"/>
          <w:sz w:val="22"/>
          <w:szCs w:val="22"/>
        </w:rPr>
        <w:t xml:space="preserve"> </w:t>
      </w:r>
      <w:r w:rsidRPr="002F6059" w:rsidR="002F6059">
        <w:rPr>
          <w:rFonts w:ascii="Times New Roman" w:hAnsi="Times New Roman" w:cs="Times New Roman"/>
          <w:i/>
          <w:color w:val="000000" w:themeColor="text1"/>
          <w:sz w:val="22"/>
          <w:szCs w:val="22"/>
        </w:rPr>
        <w:t>Environmental Health Trust</w:t>
      </w:r>
      <w:r w:rsidR="002F6059">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xml:space="preserve"> </w:t>
      </w:r>
      <w:r w:rsidR="00462703">
        <w:rPr>
          <w:rFonts w:ascii="Times New Roman" w:hAnsi="Times New Roman" w:cs="Times New Roman"/>
          <w:color w:val="000000" w:themeColor="text1"/>
          <w:sz w:val="22"/>
          <w:szCs w:val="22"/>
        </w:rPr>
        <w:t xml:space="preserve">we </w:t>
      </w:r>
      <w:r>
        <w:rPr>
          <w:rFonts w:ascii="Times New Roman" w:hAnsi="Times New Roman" w:cs="Times New Roman"/>
          <w:color w:val="000000" w:themeColor="text1"/>
          <w:sz w:val="22"/>
          <w:szCs w:val="22"/>
        </w:rPr>
        <w:t>seek comment</w:t>
      </w:r>
      <w:r w:rsidR="007C2263">
        <w:rPr>
          <w:rFonts w:ascii="Times New Roman" w:hAnsi="Times New Roman" w:cs="Times New Roman"/>
          <w:color w:val="000000" w:themeColor="text1"/>
          <w:sz w:val="22"/>
          <w:szCs w:val="22"/>
        </w:rPr>
        <w:t xml:space="preserve"> on</w:t>
      </w:r>
      <w:r>
        <w:rPr>
          <w:rFonts w:ascii="Times New Roman" w:hAnsi="Times New Roman" w:cs="Times New Roman"/>
          <w:color w:val="000000" w:themeColor="text1"/>
          <w:sz w:val="22"/>
          <w:szCs w:val="22"/>
        </w:rPr>
        <w:t xml:space="preserve"> </w:t>
      </w:r>
      <w:r w:rsidR="00D965AE">
        <w:rPr>
          <w:rFonts w:ascii="Times New Roman" w:hAnsi="Times New Roman" w:cs="Times New Roman"/>
          <w:color w:val="000000" w:themeColor="text1"/>
          <w:sz w:val="22"/>
          <w:szCs w:val="22"/>
        </w:rPr>
        <w:t>whether other</w:t>
      </w:r>
      <w:r>
        <w:rPr>
          <w:rFonts w:ascii="Times New Roman" w:hAnsi="Times New Roman" w:cs="Times New Roman"/>
          <w:color w:val="000000" w:themeColor="text1"/>
          <w:sz w:val="22"/>
          <w:szCs w:val="22"/>
        </w:rPr>
        <w:t xml:space="preserve"> record</w:t>
      </w:r>
      <w:r w:rsidR="000D27CF">
        <w:rPr>
          <w:rFonts w:ascii="Times New Roman" w:hAnsi="Times New Roman" w:cs="Times New Roman"/>
          <w:color w:val="000000" w:themeColor="text1"/>
          <w:sz w:val="22"/>
          <w:szCs w:val="22"/>
        </w:rPr>
        <w:t xml:space="preserve"> evidence </w:t>
      </w:r>
      <w:r w:rsidR="002A1B3B">
        <w:rPr>
          <w:rFonts w:ascii="Times New Roman" w:hAnsi="Times New Roman" w:cs="Times New Roman"/>
          <w:color w:val="000000" w:themeColor="text1"/>
          <w:sz w:val="22"/>
          <w:szCs w:val="22"/>
        </w:rPr>
        <w:t>properly before the court—namely, submissions filed</w:t>
      </w:r>
      <w:r>
        <w:rPr>
          <w:rFonts w:ascii="Times New Roman" w:hAnsi="Times New Roman" w:cs="Times New Roman"/>
          <w:color w:val="000000" w:themeColor="text1"/>
          <w:sz w:val="22"/>
          <w:szCs w:val="22"/>
        </w:rPr>
        <w:t xml:space="preserve"> </w:t>
      </w:r>
      <w:r w:rsidR="000D27CF">
        <w:rPr>
          <w:rFonts w:ascii="Times New Roman" w:hAnsi="Times New Roman" w:cs="Times New Roman"/>
          <w:color w:val="000000" w:themeColor="text1"/>
          <w:sz w:val="22"/>
          <w:szCs w:val="22"/>
        </w:rPr>
        <w:t>after</w:t>
      </w:r>
      <w:r>
        <w:rPr>
          <w:rFonts w:ascii="Times New Roman" w:hAnsi="Times New Roman" w:cs="Times New Roman"/>
          <w:color w:val="000000" w:themeColor="text1"/>
          <w:sz w:val="22"/>
          <w:szCs w:val="22"/>
        </w:rPr>
        <w:t xml:space="preserve"> </w:t>
      </w:r>
      <w:r w:rsidR="00D965AE">
        <w:rPr>
          <w:rFonts w:ascii="Times New Roman" w:hAnsi="Times New Roman" w:cs="Times New Roman"/>
          <w:color w:val="000000" w:themeColor="text1"/>
          <w:sz w:val="22"/>
          <w:szCs w:val="22"/>
        </w:rPr>
        <w:t>our</w:t>
      </w:r>
      <w:r>
        <w:rPr>
          <w:rFonts w:ascii="Times New Roman" w:hAnsi="Times New Roman" w:cs="Times New Roman"/>
          <w:color w:val="000000" w:themeColor="text1"/>
          <w:sz w:val="22"/>
          <w:szCs w:val="22"/>
        </w:rPr>
        <w:t xml:space="preserve"> 2013 </w:t>
      </w:r>
      <w:r w:rsidRPr="00D77547" w:rsidR="0068765B">
        <w:rPr>
          <w:rFonts w:ascii="Times New Roman" w:hAnsi="Times New Roman" w:cs="Times New Roman"/>
          <w:i/>
          <w:color w:val="000000" w:themeColor="text1"/>
          <w:sz w:val="22"/>
          <w:szCs w:val="22"/>
        </w:rPr>
        <w:t>Notice of Inquiry</w:t>
      </w:r>
      <w:r w:rsidR="0068765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w:t>
      </w:r>
      <w:r w:rsidR="000D27CF">
        <w:rPr>
          <w:rFonts w:ascii="Times New Roman" w:hAnsi="Times New Roman" w:cs="Times New Roman"/>
          <w:color w:val="000000" w:themeColor="text1"/>
          <w:sz w:val="22"/>
          <w:szCs w:val="22"/>
        </w:rPr>
        <w:t xml:space="preserve">before </w:t>
      </w:r>
      <w:r w:rsidR="00D965AE">
        <w:rPr>
          <w:rFonts w:ascii="Times New Roman" w:hAnsi="Times New Roman" w:cs="Times New Roman"/>
          <w:color w:val="000000" w:themeColor="text1"/>
          <w:sz w:val="22"/>
          <w:szCs w:val="22"/>
        </w:rPr>
        <w:t>our</w:t>
      </w:r>
      <w:r>
        <w:rPr>
          <w:rFonts w:ascii="Times New Roman" w:hAnsi="Times New Roman" w:cs="Times New Roman"/>
          <w:color w:val="000000" w:themeColor="text1"/>
          <w:sz w:val="22"/>
          <w:szCs w:val="22"/>
        </w:rPr>
        <w:t xml:space="preserve"> 2019 decision to terminate the</w:t>
      </w:r>
      <w:r w:rsidR="0068765B">
        <w:rPr>
          <w:rFonts w:ascii="Times New Roman" w:hAnsi="Times New Roman" w:cs="Times New Roman"/>
          <w:color w:val="000000" w:themeColor="text1"/>
          <w:sz w:val="22"/>
          <w:szCs w:val="22"/>
        </w:rPr>
        <w:t xml:space="preserve"> </w:t>
      </w:r>
      <w:r w:rsidRPr="00D77547" w:rsidR="0068765B">
        <w:rPr>
          <w:rFonts w:ascii="Times New Roman" w:hAnsi="Times New Roman" w:cs="Times New Roman"/>
          <w:i/>
          <w:color w:val="000000" w:themeColor="text1"/>
          <w:sz w:val="22"/>
          <w:szCs w:val="22"/>
        </w:rPr>
        <w:t>Notice of Inquiry</w:t>
      </w:r>
      <w:r w:rsidR="002A1B3B">
        <w:rPr>
          <w:rFonts w:ascii="Times New Roman" w:hAnsi="Times New Roman" w:cs="Times New Roman"/>
          <w:color w:val="000000" w:themeColor="text1"/>
          <w:sz w:val="22"/>
          <w:szCs w:val="22"/>
        </w:rPr>
        <w:t>—</w:t>
      </w:r>
      <w:r w:rsidR="000B6E6C">
        <w:rPr>
          <w:rFonts w:ascii="Times New Roman" w:hAnsi="Times New Roman" w:cs="Times New Roman"/>
          <w:color w:val="000000" w:themeColor="text1"/>
          <w:sz w:val="22"/>
          <w:szCs w:val="22"/>
        </w:rPr>
        <w:t>warrants</w:t>
      </w:r>
      <w:r w:rsidR="00D965AE">
        <w:rPr>
          <w:rFonts w:ascii="Times New Roman" w:hAnsi="Times New Roman" w:cs="Times New Roman"/>
          <w:color w:val="000000" w:themeColor="text1"/>
          <w:sz w:val="22"/>
          <w:szCs w:val="22"/>
        </w:rPr>
        <w:t xml:space="preserve"> the Commission revisit</w:t>
      </w:r>
      <w:r w:rsidR="000B6E6C">
        <w:rPr>
          <w:rFonts w:ascii="Times New Roman" w:hAnsi="Times New Roman" w:cs="Times New Roman"/>
          <w:color w:val="000000" w:themeColor="text1"/>
          <w:sz w:val="22"/>
          <w:szCs w:val="22"/>
        </w:rPr>
        <w:t>ing</w:t>
      </w:r>
      <w:r w:rsidR="00D965AE">
        <w:rPr>
          <w:rFonts w:ascii="Times New Roman" w:hAnsi="Times New Roman" w:cs="Times New Roman"/>
          <w:color w:val="000000" w:themeColor="text1"/>
          <w:sz w:val="22"/>
          <w:szCs w:val="22"/>
        </w:rPr>
        <w:t xml:space="preserve"> its RF exposure rules</w:t>
      </w:r>
      <w:r w:rsidR="00462703">
        <w:rPr>
          <w:rFonts w:ascii="Times New Roman" w:hAnsi="Times New Roman" w:cs="Times New Roman"/>
          <w:color w:val="000000" w:themeColor="text1"/>
          <w:sz w:val="22"/>
          <w:szCs w:val="22"/>
        </w:rPr>
        <w:t xml:space="preserve"> on the </w:t>
      </w:r>
      <w:r w:rsidR="006D3EE1">
        <w:rPr>
          <w:rFonts w:ascii="Times New Roman" w:hAnsi="Times New Roman" w:cs="Times New Roman"/>
          <w:color w:val="000000" w:themeColor="text1"/>
          <w:sz w:val="22"/>
          <w:szCs w:val="22"/>
        </w:rPr>
        <w:t xml:space="preserve">specific </w:t>
      </w:r>
      <w:r w:rsidR="00462703">
        <w:rPr>
          <w:rFonts w:ascii="Times New Roman" w:hAnsi="Times New Roman" w:cs="Times New Roman"/>
          <w:color w:val="000000" w:themeColor="text1"/>
          <w:sz w:val="22"/>
          <w:szCs w:val="22"/>
        </w:rPr>
        <w:t>issues subject to remand</w:t>
      </w:r>
      <w:r w:rsidR="006D3EE1">
        <w:rPr>
          <w:rFonts w:ascii="Times New Roman" w:hAnsi="Times New Roman" w:cs="Times New Roman"/>
          <w:color w:val="000000" w:themeColor="text1"/>
          <w:sz w:val="22"/>
          <w:szCs w:val="22"/>
        </w:rPr>
        <w:t xml:space="preserve"> identified above</w:t>
      </w:r>
      <w:r w:rsidR="00D965AE">
        <w:rPr>
          <w:rFonts w:ascii="Times New Roman" w:hAnsi="Times New Roman" w:cs="Times New Roman"/>
          <w:color w:val="000000" w:themeColor="text1"/>
          <w:sz w:val="22"/>
          <w:szCs w:val="22"/>
        </w:rPr>
        <w:t>.</w:t>
      </w:r>
      <w:r w:rsidR="002F6059">
        <w:rPr>
          <w:rFonts w:ascii="Times New Roman" w:hAnsi="Times New Roman" w:cs="Times New Roman"/>
          <w:color w:val="000000" w:themeColor="text1"/>
          <w:sz w:val="22"/>
          <w:szCs w:val="22"/>
        </w:rPr>
        <w:t xml:space="preserve">  We also seek </w:t>
      </w:r>
      <w:r w:rsidR="00C82A27">
        <w:rPr>
          <w:rFonts w:ascii="Times New Roman" w:hAnsi="Times New Roman" w:cs="Times New Roman"/>
          <w:color w:val="000000" w:themeColor="text1"/>
          <w:sz w:val="22"/>
          <w:szCs w:val="22"/>
        </w:rPr>
        <w:t xml:space="preserve">comment on whether record evidence </w:t>
      </w:r>
      <w:r w:rsidR="00462703">
        <w:rPr>
          <w:rFonts w:ascii="Times New Roman" w:hAnsi="Times New Roman" w:cs="Times New Roman"/>
          <w:color w:val="000000" w:themeColor="text1"/>
          <w:sz w:val="22"/>
          <w:szCs w:val="22"/>
        </w:rPr>
        <w:t xml:space="preserve">affirmatively </w:t>
      </w:r>
      <w:r w:rsidR="00C82A27">
        <w:rPr>
          <w:rFonts w:ascii="Times New Roman" w:hAnsi="Times New Roman" w:cs="Times New Roman"/>
          <w:color w:val="000000" w:themeColor="text1"/>
          <w:sz w:val="22"/>
          <w:szCs w:val="22"/>
        </w:rPr>
        <w:t xml:space="preserve">supports our rules or casts doubt on the reliability of submissions to the contrary.  </w:t>
      </w:r>
    </w:p>
    <w:p w:rsidR="00651AF3" w:rsidP="00A03C73" w14:paraId="03DCF8AF"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AD7492" w:rsidP="00A03C73" w14:paraId="380A3AFE" w14:textId="50AECA9C">
      <w:pPr>
        <w:autoSpaceDE w:val="0"/>
        <w:autoSpaceDN w:val="0"/>
        <w:adjustRightInd w:val="0"/>
        <w:spacing w:after="0" w:line="240" w:lineRule="auto"/>
        <w:ind w:firstLine="720"/>
        <w:rPr>
          <w:rFonts w:ascii="Times New Roman" w:hAnsi="Times New Roman" w:cs="Times New Roman"/>
          <w:sz w:val="22"/>
          <w:szCs w:val="22"/>
        </w:rPr>
      </w:pPr>
      <w:r w:rsidRPr="00587CCC">
        <w:rPr>
          <w:rFonts w:ascii="Times New Roman" w:hAnsi="Times New Roman" w:cs="Times New Roman"/>
          <w:color w:val="000000" w:themeColor="text1"/>
          <w:sz w:val="22"/>
          <w:szCs w:val="22"/>
        </w:rPr>
        <w:t xml:space="preserve">As with our prior efforts, we </w:t>
      </w:r>
      <w:r>
        <w:rPr>
          <w:rFonts w:ascii="Times New Roman" w:hAnsi="Times New Roman" w:cs="Times New Roman"/>
          <w:color w:val="000000" w:themeColor="text1"/>
          <w:sz w:val="22"/>
          <w:szCs w:val="22"/>
        </w:rPr>
        <w:t xml:space="preserve">intend to give </w:t>
      </w:r>
      <w:r w:rsidR="00F478AE">
        <w:rPr>
          <w:rFonts w:ascii="Times New Roman" w:hAnsi="Times New Roman" w:cs="Times New Roman"/>
          <w:color w:val="000000" w:themeColor="text1"/>
          <w:sz w:val="22"/>
          <w:szCs w:val="22"/>
        </w:rPr>
        <w:t xml:space="preserve">particular </w:t>
      </w:r>
      <w:r>
        <w:rPr>
          <w:rFonts w:ascii="Times New Roman" w:hAnsi="Times New Roman" w:cs="Times New Roman"/>
          <w:color w:val="000000" w:themeColor="text1"/>
          <w:sz w:val="22"/>
          <w:szCs w:val="22"/>
        </w:rPr>
        <w:t>weight to</w:t>
      </w:r>
      <w:r w:rsidRPr="00587CCC">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submissions</w:t>
      </w:r>
      <w:r w:rsidR="008E1CE9">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that reflect</w:t>
      </w:r>
      <w:r w:rsidRPr="00587CCC">
        <w:rPr>
          <w:rFonts w:ascii="Times New Roman" w:hAnsi="Times New Roman" w:cs="Times New Roman"/>
          <w:color w:val="000000" w:themeColor="text1"/>
          <w:sz w:val="22"/>
          <w:szCs w:val="22"/>
        </w:rPr>
        <w:t xml:space="preserve"> specialized experience in health and safety issues</w:t>
      </w:r>
      <w:r w:rsidR="00AB59E4">
        <w:rPr>
          <w:rFonts w:ascii="Times New Roman" w:hAnsi="Times New Roman" w:cs="Times New Roman"/>
          <w:color w:val="000000" w:themeColor="text1"/>
          <w:sz w:val="22"/>
          <w:szCs w:val="22"/>
        </w:rPr>
        <w:t xml:space="preserve"> on RF exposure</w:t>
      </w:r>
      <w:r w:rsidRPr="00587CCC">
        <w:rPr>
          <w:rFonts w:ascii="Times New Roman" w:hAnsi="Times New Roman" w:cs="Times New Roman"/>
          <w:color w:val="000000" w:themeColor="text1"/>
          <w:sz w:val="22"/>
          <w:szCs w:val="22"/>
        </w:rPr>
        <w:t>.</w:t>
      </w:r>
      <w:r w:rsidR="00B36DB5">
        <w:rPr>
          <w:rFonts w:ascii="Times New Roman" w:hAnsi="Times New Roman" w:cs="Times New Roman"/>
          <w:color w:val="000000" w:themeColor="text1"/>
          <w:sz w:val="22"/>
          <w:szCs w:val="22"/>
        </w:rPr>
        <w:t xml:space="preserve">  In prioritizing </w:t>
      </w:r>
      <w:r w:rsidR="00B7282F">
        <w:rPr>
          <w:rFonts w:ascii="Times New Roman" w:hAnsi="Times New Roman" w:cs="Times New Roman"/>
          <w:color w:val="000000" w:themeColor="text1"/>
          <w:sz w:val="22"/>
          <w:szCs w:val="22"/>
        </w:rPr>
        <w:t xml:space="preserve">the </w:t>
      </w:r>
      <w:r w:rsidR="00B36DB5">
        <w:rPr>
          <w:rFonts w:ascii="Times New Roman" w:hAnsi="Times New Roman" w:cs="Times New Roman"/>
          <w:color w:val="000000" w:themeColor="text1"/>
          <w:sz w:val="22"/>
          <w:szCs w:val="22"/>
        </w:rPr>
        <w:t xml:space="preserve">quality </w:t>
      </w:r>
      <w:r w:rsidR="0086449D">
        <w:rPr>
          <w:rFonts w:ascii="Times New Roman" w:hAnsi="Times New Roman" w:cs="Times New Roman"/>
          <w:color w:val="000000" w:themeColor="text1"/>
          <w:sz w:val="22"/>
          <w:szCs w:val="22"/>
        </w:rPr>
        <w:t xml:space="preserve">of submissions </w:t>
      </w:r>
      <w:r w:rsidR="00B36DB5">
        <w:rPr>
          <w:rFonts w:ascii="Times New Roman" w:hAnsi="Times New Roman" w:cs="Times New Roman"/>
          <w:color w:val="000000" w:themeColor="text1"/>
          <w:sz w:val="22"/>
          <w:szCs w:val="22"/>
        </w:rPr>
        <w:t>over</w:t>
      </w:r>
      <w:r w:rsidR="0086449D">
        <w:rPr>
          <w:rFonts w:ascii="Times New Roman" w:hAnsi="Times New Roman" w:cs="Times New Roman"/>
          <w:color w:val="000000" w:themeColor="text1"/>
          <w:sz w:val="22"/>
          <w:szCs w:val="22"/>
        </w:rPr>
        <w:t xml:space="preserve"> their</w:t>
      </w:r>
      <w:r w:rsidR="00B36DB5">
        <w:rPr>
          <w:rFonts w:ascii="Times New Roman" w:hAnsi="Times New Roman" w:cs="Times New Roman"/>
          <w:color w:val="000000" w:themeColor="text1"/>
          <w:sz w:val="22"/>
          <w:szCs w:val="22"/>
        </w:rPr>
        <w:t xml:space="preserve"> quantity,</w:t>
      </w:r>
      <w:r>
        <w:rPr>
          <w:rStyle w:val="FootnoteReference"/>
          <w:rFonts w:cs="Times New Roman"/>
          <w:szCs w:val="22"/>
        </w:rPr>
        <w:footnoteReference w:id="33"/>
      </w:r>
      <w:r w:rsidR="00B36DB5">
        <w:rPr>
          <w:rFonts w:ascii="Times New Roman" w:hAnsi="Times New Roman" w:cs="Times New Roman"/>
          <w:color w:val="000000" w:themeColor="text1"/>
          <w:sz w:val="22"/>
          <w:szCs w:val="22"/>
        </w:rPr>
        <w:t xml:space="preserve"> w</w:t>
      </w:r>
      <w:r w:rsidRPr="00587CCC">
        <w:rPr>
          <w:rFonts w:ascii="Times New Roman" w:hAnsi="Times New Roman" w:cs="Times New Roman"/>
          <w:color w:val="000000" w:themeColor="text1"/>
          <w:sz w:val="22"/>
          <w:szCs w:val="22"/>
        </w:rPr>
        <w:t xml:space="preserve">e </w:t>
      </w:r>
      <w:r w:rsidR="00DD1912">
        <w:rPr>
          <w:rFonts w:ascii="Times New Roman" w:hAnsi="Times New Roman" w:cs="Times New Roman"/>
          <w:color w:val="000000" w:themeColor="text1"/>
          <w:sz w:val="22"/>
          <w:szCs w:val="22"/>
        </w:rPr>
        <w:t xml:space="preserve">do not anticipate </w:t>
      </w:r>
      <w:r>
        <w:rPr>
          <w:rFonts w:ascii="Times New Roman" w:hAnsi="Times New Roman" w:cs="Times New Roman"/>
          <w:color w:val="000000" w:themeColor="text1"/>
          <w:sz w:val="22"/>
          <w:szCs w:val="22"/>
        </w:rPr>
        <w:t>afford</w:t>
      </w:r>
      <w:r w:rsidR="0086449D">
        <w:rPr>
          <w:rFonts w:ascii="Times New Roman" w:hAnsi="Times New Roman" w:cs="Times New Roman"/>
          <w:color w:val="000000" w:themeColor="text1"/>
          <w:sz w:val="22"/>
          <w:szCs w:val="22"/>
        </w:rPr>
        <w:t>ing</w:t>
      </w:r>
      <w:r>
        <w:rPr>
          <w:rFonts w:ascii="Times New Roman" w:hAnsi="Times New Roman" w:cs="Times New Roman"/>
          <w:color w:val="000000" w:themeColor="text1"/>
          <w:sz w:val="22"/>
          <w:szCs w:val="22"/>
        </w:rPr>
        <w:t xml:space="preserve"> </w:t>
      </w:r>
      <w:r w:rsidRPr="004C5FB4">
        <w:rPr>
          <w:rFonts w:ascii="Times New Roman" w:hAnsi="Times New Roman" w:cs="Times New Roman"/>
          <w:color w:val="000000" w:themeColor="text1"/>
          <w:sz w:val="22"/>
          <w:szCs w:val="22"/>
        </w:rPr>
        <w:t>such</w:t>
      </w:r>
      <w:r w:rsidRPr="004C5FB4" w:rsidR="00FC43A4">
        <w:rPr>
          <w:rFonts w:ascii="Times New Roman" w:hAnsi="Times New Roman" w:cs="Times New Roman"/>
          <w:color w:val="000000" w:themeColor="text1"/>
          <w:sz w:val="22"/>
          <w:szCs w:val="22"/>
        </w:rPr>
        <w:t xml:space="preserve"> scientific</w:t>
      </w:r>
      <w:r w:rsidRPr="004C5FB4">
        <w:rPr>
          <w:rFonts w:ascii="Times New Roman" w:hAnsi="Times New Roman" w:cs="Times New Roman"/>
          <w:color w:val="000000" w:themeColor="text1"/>
          <w:sz w:val="22"/>
          <w:szCs w:val="22"/>
        </w:rPr>
        <w:t xml:space="preserve"> weight to</w:t>
      </w:r>
      <w:r>
        <w:rPr>
          <w:rFonts w:ascii="Times New Roman" w:hAnsi="Times New Roman" w:cs="Times New Roman"/>
          <w:color w:val="000000" w:themeColor="text1"/>
          <w:sz w:val="22"/>
          <w:szCs w:val="22"/>
        </w:rPr>
        <w:t xml:space="preserve"> </w:t>
      </w:r>
      <w:r w:rsidR="000E218F">
        <w:rPr>
          <w:rFonts w:ascii="Times New Roman" w:hAnsi="Times New Roman" w:cs="Times New Roman"/>
          <w:color w:val="000000" w:themeColor="text1"/>
          <w:sz w:val="22"/>
          <w:szCs w:val="22"/>
        </w:rPr>
        <w:t>meta</w:t>
      </w:r>
      <w:r w:rsidR="0033225B">
        <w:rPr>
          <w:rFonts w:ascii="Times New Roman" w:hAnsi="Times New Roman" w:cs="Times New Roman"/>
          <w:color w:val="000000" w:themeColor="text1"/>
          <w:sz w:val="22"/>
          <w:szCs w:val="22"/>
        </w:rPr>
        <w:t>-a</w:t>
      </w:r>
      <w:r w:rsidR="000E218F">
        <w:rPr>
          <w:rFonts w:ascii="Times New Roman" w:hAnsi="Times New Roman" w:cs="Times New Roman"/>
          <w:color w:val="000000" w:themeColor="text1"/>
          <w:sz w:val="22"/>
          <w:szCs w:val="22"/>
        </w:rPr>
        <w:t>nalyses that simply compile</w:t>
      </w:r>
      <w:r>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studies</w:t>
      </w:r>
      <w:r>
        <w:rPr>
          <w:rFonts w:ascii="Times New Roman" w:hAnsi="Times New Roman" w:cs="Times New Roman"/>
          <w:color w:val="000000" w:themeColor="text1"/>
          <w:sz w:val="22"/>
          <w:szCs w:val="22"/>
        </w:rPr>
        <w:t xml:space="preserve"> </w:t>
      </w:r>
      <w:r w:rsidRPr="00587CCC">
        <w:rPr>
          <w:rFonts w:ascii="Times New Roman" w:hAnsi="Times New Roman" w:cs="Times New Roman"/>
          <w:color w:val="000000" w:themeColor="text1"/>
          <w:sz w:val="22"/>
          <w:szCs w:val="22"/>
        </w:rPr>
        <w:t xml:space="preserve">marked by wide ranges in scientific rigor and differing and sometimes contradictory conclusions.  </w:t>
      </w:r>
      <w:r w:rsidR="0086449D">
        <w:rPr>
          <w:rFonts w:ascii="Times New Roman" w:hAnsi="Times New Roman" w:cs="Times New Roman"/>
          <w:color w:val="000000" w:themeColor="text1"/>
          <w:sz w:val="22"/>
          <w:szCs w:val="22"/>
        </w:rPr>
        <w:t>Nor do we anticipate affording such weight to unverifiable</w:t>
      </w:r>
      <w:r w:rsidR="00446FF0">
        <w:rPr>
          <w:rFonts w:ascii="Times New Roman" w:hAnsi="Times New Roman" w:cs="Times New Roman"/>
          <w:color w:val="000000" w:themeColor="text1"/>
          <w:sz w:val="22"/>
          <w:szCs w:val="22"/>
        </w:rPr>
        <w:t xml:space="preserve"> or repetitive</w:t>
      </w:r>
      <w:r w:rsidR="0086449D">
        <w:rPr>
          <w:rFonts w:ascii="Times New Roman" w:hAnsi="Times New Roman" w:cs="Times New Roman"/>
          <w:color w:val="000000" w:themeColor="text1"/>
          <w:sz w:val="22"/>
          <w:szCs w:val="22"/>
        </w:rPr>
        <w:t xml:space="preserve"> testimonial submissions that purport to assert the existence or absence of adverse health effects.  </w:t>
      </w:r>
      <w:r>
        <w:rPr>
          <w:rFonts w:ascii="Times New Roman" w:hAnsi="Times New Roman" w:cs="Times New Roman"/>
          <w:color w:val="000000" w:themeColor="text1"/>
          <w:sz w:val="22"/>
          <w:szCs w:val="22"/>
        </w:rPr>
        <w:t>Probative value will be accorded to</w:t>
      </w:r>
      <w:r w:rsidRPr="00587CCC">
        <w:rPr>
          <w:rFonts w:ascii="Times New Roman" w:hAnsi="Times New Roman" w:cs="Times New Roman"/>
          <w:color w:val="000000" w:themeColor="text1"/>
          <w:sz w:val="22"/>
          <w:szCs w:val="22"/>
        </w:rPr>
        <w:t xml:space="preserve"> parties who have demonstrated a capacity to</w:t>
      </w:r>
      <w:r w:rsidRPr="00587CCC">
        <w:rPr>
          <w:rFonts w:ascii="Times New Roman" w:hAnsi="Times New Roman" w:cs="Times New Roman"/>
          <w:sz w:val="22"/>
          <w:szCs w:val="22"/>
        </w:rPr>
        <w:t xml:space="preserve"> interpret the biological research necessary to assess the health impact of RF emissions and determine what exposure levels are considered safe for humans, and who can do so with sufficient detail and persuasiveness to overcome the failings that the court identified when the Commission last attempted to rely </w:t>
      </w:r>
      <w:r w:rsidR="00DF030A">
        <w:rPr>
          <w:rFonts w:ascii="Times New Roman" w:hAnsi="Times New Roman" w:cs="Times New Roman"/>
          <w:sz w:val="22"/>
          <w:szCs w:val="22"/>
        </w:rPr>
        <w:t>o</w:t>
      </w:r>
      <w:r w:rsidRPr="00587CCC">
        <w:rPr>
          <w:rFonts w:ascii="Times New Roman" w:hAnsi="Times New Roman" w:cs="Times New Roman"/>
          <w:sz w:val="22"/>
          <w:szCs w:val="22"/>
        </w:rPr>
        <w:t xml:space="preserve">n the expertise of expert agencies.  </w:t>
      </w:r>
    </w:p>
    <w:p w:rsidR="00740E44" w:rsidP="00A03C73" w14:paraId="675A40FC" w14:textId="77777777">
      <w:pPr>
        <w:autoSpaceDE w:val="0"/>
        <w:autoSpaceDN w:val="0"/>
        <w:adjustRightInd w:val="0"/>
        <w:spacing w:after="0" w:line="240" w:lineRule="auto"/>
        <w:ind w:firstLine="720"/>
        <w:rPr>
          <w:rFonts w:ascii="Times New Roman" w:hAnsi="Times New Roman" w:cs="Times New Roman"/>
          <w:sz w:val="22"/>
          <w:szCs w:val="22"/>
        </w:rPr>
      </w:pPr>
    </w:p>
    <w:p w:rsidR="00740E44" w:rsidP="00A03C73" w14:paraId="3018E1B5" w14:textId="2FF2896E">
      <w:pPr>
        <w:autoSpaceDE w:val="0"/>
        <w:autoSpaceDN w:val="0"/>
        <w:adjustRightInd w:val="0"/>
        <w:spacing w:after="0"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For instance, </w:t>
      </w:r>
      <w:r w:rsidR="00462703">
        <w:rPr>
          <w:rFonts w:ascii="Times New Roman" w:hAnsi="Times New Roman" w:cs="Times New Roman"/>
          <w:sz w:val="22"/>
          <w:szCs w:val="22"/>
        </w:rPr>
        <w:t>on</w:t>
      </w:r>
      <w:r w:rsidRPr="00587CCC">
        <w:rPr>
          <w:rFonts w:ascii="Times New Roman" w:hAnsi="Times New Roman" w:cs="Times New Roman"/>
          <w:sz w:val="22"/>
          <w:szCs w:val="22"/>
        </w:rPr>
        <w:t xml:space="preserve"> </w:t>
      </w:r>
      <w:r w:rsidR="00462703">
        <w:rPr>
          <w:rFonts w:ascii="Times New Roman" w:hAnsi="Times New Roman" w:cs="Times New Roman"/>
          <w:sz w:val="22"/>
          <w:szCs w:val="22"/>
        </w:rPr>
        <w:t>potential environmental</w:t>
      </w:r>
      <w:r w:rsidRPr="00587CCC">
        <w:rPr>
          <w:rFonts w:ascii="Times New Roman" w:hAnsi="Times New Roman" w:cs="Times New Roman"/>
          <w:sz w:val="22"/>
          <w:szCs w:val="22"/>
        </w:rPr>
        <w:t xml:space="preserve"> impact </w:t>
      </w:r>
      <w:r w:rsidR="00462703">
        <w:rPr>
          <w:rFonts w:ascii="Times New Roman" w:hAnsi="Times New Roman" w:cs="Times New Roman"/>
          <w:sz w:val="22"/>
          <w:szCs w:val="22"/>
        </w:rPr>
        <w:t>from</w:t>
      </w:r>
      <w:r w:rsidRPr="00587CCC">
        <w:rPr>
          <w:rFonts w:ascii="Times New Roman" w:hAnsi="Times New Roman" w:cs="Times New Roman"/>
          <w:sz w:val="22"/>
          <w:szCs w:val="22"/>
        </w:rPr>
        <w:t xml:space="preserve"> RF, we encourage input from </w:t>
      </w:r>
      <w:r w:rsidRPr="00587CCC">
        <w:rPr>
          <w:rFonts w:ascii="Times New Roman" w:hAnsi="Times New Roman" w:cs="Times New Roman"/>
          <w:color w:val="000000" w:themeColor="text1"/>
          <w:sz w:val="22"/>
          <w:szCs w:val="22"/>
        </w:rPr>
        <w:t>science-based standard-setting organizations and other interested parties</w:t>
      </w:r>
      <w:r w:rsidR="00174F29">
        <w:rPr>
          <w:rFonts w:ascii="Times New Roman" w:hAnsi="Times New Roman" w:cs="Times New Roman"/>
          <w:color w:val="000000" w:themeColor="text1"/>
          <w:sz w:val="22"/>
          <w:szCs w:val="22"/>
        </w:rPr>
        <w:t xml:space="preserve"> and </w:t>
      </w:r>
      <w:r w:rsidR="00113074">
        <w:rPr>
          <w:rFonts w:ascii="Times New Roman" w:hAnsi="Times New Roman" w:cs="Times New Roman"/>
          <w:color w:val="000000" w:themeColor="text1"/>
          <w:sz w:val="22"/>
          <w:szCs w:val="22"/>
        </w:rPr>
        <w:t xml:space="preserve">request that commenters </w:t>
      </w:r>
      <w:r w:rsidR="001A3DA5">
        <w:rPr>
          <w:rFonts w:ascii="Times New Roman" w:hAnsi="Times New Roman" w:cs="Times New Roman"/>
          <w:color w:val="000000" w:themeColor="text1"/>
          <w:sz w:val="22"/>
          <w:szCs w:val="22"/>
        </w:rPr>
        <w:t xml:space="preserve">describe </w:t>
      </w:r>
      <w:r w:rsidR="00113074">
        <w:rPr>
          <w:rFonts w:ascii="Times New Roman" w:hAnsi="Times New Roman" w:cs="Times New Roman"/>
          <w:color w:val="000000" w:themeColor="text1"/>
          <w:sz w:val="22"/>
          <w:szCs w:val="22"/>
        </w:rPr>
        <w:t xml:space="preserve">their </w:t>
      </w:r>
      <w:r w:rsidR="00211223">
        <w:rPr>
          <w:rFonts w:ascii="Times New Roman" w:hAnsi="Times New Roman" w:cs="Times New Roman"/>
          <w:sz w:val="22"/>
          <w:szCs w:val="22"/>
        </w:rPr>
        <w:t>relevant qualifications</w:t>
      </w:r>
      <w:r w:rsidR="005C3423">
        <w:rPr>
          <w:rFonts w:ascii="Times New Roman" w:hAnsi="Times New Roman" w:cs="Times New Roman"/>
          <w:sz w:val="22"/>
          <w:szCs w:val="22"/>
        </w:rPr>
        <w:t xml:space="preserve"> and</w:t>
      </w:r>
      <w:r w:rsidRPr="00587CCC" w:rsidR="00263D81">
        <w:rPr>
          <w:rFonts w:ascii="Times New Roman" w:hAnsi="Times New Roman" w:cs="Times New Roman"/>
          <w:sz w:val="22"/>
          <w:szCs w:val="22"/>
        </w:rPr>
        <w:t xml:space="preserve"> subject-matter expertise</w:t>
      </w:r>
      <w:r w:rsidR="003F664B">
        <w:rPr>
          <w:rFonts w:ascii="Times New Roman" w:hAnsi="Times New Roman" w:cs="Times New Roman"/>
          <w:sz w:val="22"/>
          <w:szCs w:val="22"/>
        </w:rPr>
        <w:t>,</w:t>
      </w:r>
      <w:r w:rsidR="001A3DA5">
        <w:rPr>
          <w:rFonts w:ascii="Times New Roman" w:hAnsi="Times New Roman" w:cs="Times New Roman"/>
          <w:sz w:val="22"/>
          <w:szCs w:val="22"/>
        </w:rPr>
        <w:t xml:space="preserve"> and </w:t>
      </w:r>
      <w:r w:rsidR="00D446AC">
        <w:rPr>
          <w:rFonts w:ascii="Times New Roman" w:hAnsi="Times New Roman" w:cs="Times New Roman"/>
          <w:sz w:val="22"/>
          <w:szCs w:val="22"/>
        </w:rPr>
        <w:t xml:space="preserve">provide </w:t>
      </w:r>
      <w:r w:rsidR="00A55C85">
        <w:rPr>
          <w:rFonts w:ascii="Times New Roman" w:hAnsi="Times New Roman" w:cs="Times New Roman"/>
          <w:sz w:val="22"/>
          <w:szCs w:val="22"/>
        </w:rPr>
        <w:t xml:space="preserve">sufficient </w:t>
      </w:r>
      <w:r w:rsidR="00DE2B92">
        <w:rPr>
          <w:rFonts w:ascii="Times New Roman" w:hAnsi="Times New Roman" w:cs="Times New Roman"/>
          <w:sz w:val="22"/>
          <w:szCs w:val="22"/>
        </w:rPr>
        <w:t>supporting information</w:t>
      </w:r>
      <w:r w:rsidR="00211223">
        <w:rPr>
          <w:rFonts w:ascii="Times New Roman" w:hAnsi="Times New Roman" w:cs="Times New Roman"/>
          <w:sz w:val="22"/>
          <w:szCs w:val="22"/>
        </w:rPr>
        <w:t xml:space="preserve"> </w:t>
      </w:r>
      <w:r w:rsidR="00F922E3">
        <w:rPr>
          <w:rFonts w:ascii="Times New Roman" w:hAnsi="Times New Roman" w:cs="Times New Roman"/>
          <w:sz w:val="22"/>
          <w:szCs w:val="22"/>
        </w:rPr>
        <w:t>so that we may</w:t>
      </w:r>
      <w:r w:rsidR="00A55C85">
        <w:rPr>
          <w:rFonts w:ascii="Times New Roman" w:hAnsi="Times New Roman" w:cs="Times New Roman"/>
          <w:sz w:val="22"/>
          <w:szCs w:val="22"/>
        </w:rPr>
        <w:t xml:space="preserve"> </w:t>
      </w:r>
      <w:r w:rsidR="00211223">
        <w:rPr>
          <w:rFonts w:ascii="Times New Roman" w:hAnsi="Times New Roman" w:cs="Times New Roman"/>
          <w:sz w:val="22"/>
          <w:szCs w:val="22"/>
        </w:rPr>
        <w:t xml:space="preserve">evaluate the </w:t>
      </w:r>
      <w:r w:rsidR="001A3DA5">
        <w:rPr>
          <w:rFonts w:ascii="Times New Roman" w:hAnsi="Times New Roman" w:cs="Times New Roman"/>
          <w:sz w:val="22"/>
          <w:szCs w:val="22"/>
        </w:rPr>
        <w:t xml:space="preserve">methodological rigor </w:t>
      </w:r>
      <w:r w:rsidR="00211223">
        <w:rPr>
          <w:rFonts w:ascii="Times New Roman" w:hAnsi="Times New Roman" w:cs="Times New Roman"/>
          <w:sz w:val="22"/>
          <w:szCs w:val="22"/>
        </w:rPr>
        <w:t xml:space="preserve">underpinning </w:t>
      </w:r>
      <w:r w:rsidR="00DE2B92">
        <w:rPr>
          <w:rFonts w:ascii="Times New Roman" w:hAnsi="Times New Roman" w:cs="Times New Roman"/>
          <w:sz w:val="22"/>
          <w:szCs w:val="22"/>
        </w:rPr>
        <w:t xml:space="preserve">their </w:t>
      </w:r>
      <w:r w:rsidR="003E0A24">
        <w:rPr>
          <w:rFonts w:ascii="Times New Roman" w:hAnsi="Times New Roman" w:cs="Times New Roman"/>
          <w:sz w:val="22"/>
          <w:szCs w:val="22"/>
        </w:rPr>
        <w:t>views</w:t>
      </w:r>
      <w:r w:rsidR="00DE2B92">
        <w:rPr>
          <w:rFonts w:ascii="Times New Roman" w:hAnsi="Times New Roman" w:cs="Times New Roman"/>
          <w:sz w:val="22"/>
          <w:szCs w:val="22"/>
        </w:rPr>
        <w:t xml:space="preserve"> and</w:t>
      </w:r>
      <w:r w:rsidR="001A3DA5">
        <w:rPr>
          <w:rFonts w:ascii="Times New Roman" w:hAnsi="Times New Roman" w:cs="Times New Roman"/>
          <w:sz w:val="22"/>
          <w:szCs w:val="22"/>
        </w:rPr>
        <w:t xml:space="preserve"> claims</w:t>
      </w:r>
      <w:r w:rsidRPr="00587CCC">
        <w:rPr>
          <w:rFonts w:ascii="Times New Roman" w:hAnsi="Times New Roman" w:cs="Times New Roman"/>
          <w:sz w:val="22"/>
          <w:szCs w:val="22"/>
        </w:rPr>
        <w:t xml:space="preserve">. </w:t>
      </w:r>
      <w:r w:rsidR="00462703">
        <w:rPr>
          <w:rFonts w:ascii="Times New Roman" w:hAnsi="Times New Roman" w:cs="Times New Roman"/>
          <w:sz w:val="22"/>
          <w:szCs w:val="22"/>
        </w:rPr>
        <w:t xml:space="preserve"> </w:t>
      </w:r>
      <w:r w:rsidRPr="00587CCC">
        <w:rPr>
          <w:rFonts w:ascii="Times New Roman" w:hAnsi="Times New Roman" w:cs="Times New Roman"/>
          <w:sz w:val="22"/>
          <w:szCs w:val="22"/>
        </w:rPr>
        <w:t>We note the work of the Australian Radiation Protection and Nuclear Safety Agency (ARPANSA), who “finds good quality studies show no effect from radio waves on plants and animals,”</w:t>
      </w:r>
      <w:r>
        <w:rPr>
          <w:rStyle w:val="FootnoteReference"/>
          <w:rFonts w:cs="Times New Roman"/>
          <w:szCs w:val="22"/>
        </w:rPr>
        <w:footnoteReference w:id="34"/>
      </w:r>
      <w:r w:rsidRPr="00587CCC">
        <w:rPr>
          <w:rFonts w:ascii="Times New Roman" w:hAnsi="Times New Roman" w:cs="Times New Roman"/>
          <w:sz w:val="22"/>
          <w:szCs w:val="22"/>
        </w:rPr>
        <w:t xml:space="preserve"> and the ongoing work of the ICNIRP Project Group on Environmental EMF Protection tasked to “draft a statement on environmental effects of EMFs on the basis of qualitatively reliable scientific papers.”</w:t>
      </w:r>
      <w:r>
        <w:rPr>
          <w:rStyle w:val="FootnoteReference"/>
          <w:rFonts w:cs="Times New Roman"/>
          <w:color w:val="000000" w:themeColor="text1"/>
          <w:szCs w:val="22"/>
        </w:rPr>
        <w:footnoteReference w:id="35"/>
      </w:r>
      <w:r>
        <w:rPr>
          <w:rFonts w:ascii="Times New Roman" w:hAnsi="Times New Roman" w:cs="Times New Roman"/>
          <w:sz w:val="22"/>
          <w:szCs w:val="22"/>
        </w:rPr>
        <w:t xml:space="preserve">  </w:t>
      </w:r>
      <w:r w:rsidRPr="00587CCC">
        <w:rPr>
          <w:rFonts w:ascii="Times New Roman" w:hAnsi="Times New Roman" w:cs="Times New Roman"/>
          <w:sz w:val="22"/>
          <w:szCs w:val="22"/>
        </w:rPr>
        <w:t>We also invite comment on our testing procedures for determining whether cell phones and other portable electronic devices comply with our guidelines.  As stated in Commission rules, guidance regarding applicable measurement techniques for the evaluation of compliance for portable devices can be found in the Office of Engineering and Technology (OET) Laboratory Division Knowledge Database (KDB).</w:t>
      </w:r>
      <w:r>
        <w:rPr>
          <w:rStyle w:val="FootnoteReference"/>
          <w:rFonts w:cs="Times New Roman"/>
          <w:szCs w:val="22"/>
        </w:rPr>
        <w:footnoteReference w:id="36"/>
      </w:r>
    </w:p>
    <w:p w:rsidR="000C52CD" w:rsidP="00A03C73" w14:paraId="449999D4" w14:textId="77777777">
      <w:pPr>
        <w:autoSpaceDE w:val="0"/>
        <w:autoSpaceDN w:val="0"/>
        <w:adjustRightInd w:val="0"/>
        <w:spacing w:after="0" w:line="240" w:lineRule="auto"/>
        <w:ind w:firstLine="720"/>
        <w:rPr>
          <w:rFonts w:ascii="Times New Roman" w:hAnsi="Times New Roman" w:cs="Times New Roman"/>
          <w:sz w:val="22"/>
          <w:szCs w:val="22"/>
        </w:rPr>
      </w:pPr>
    </w:p>
    <w:p w:rsidR="008E1CE9" w:rsidP="00A03C73" w14:paraId="008DB662" w14:textId="201CAA2F">
      <w:pPr>
        <w:autoSpaceDE w:val="0"/>
        <w:autoSpaceDN w:val="0"/>
        <w:adjustRightInd w:val="0"/>
        <w:spacing w:after="0" w:line="240" w:lineRule="auto"/>
        <w:ind w:firstLine="720"/>
        <w:rPr>
          <w:rFonts w:ascii="Times New Roman" w:hAnsi="Times New Roman" w:cs="Times New Roman"/>
          <w:sz w:val="22"/>
          <w:szCs w:val="22"/>
        </w:rPr>
      </w:pPr>
      <w:r w:rsidRPr="00587CCC">
        <w:rPr>
          <w:rFonts w:ascii="Times New Roman" w:hAnsi="Times New Roman" w:cs="Times New Roman"/>
          <w:sz w:val="22"/>
          <w:szCs w:val="22"/>
        </w:rPr>
        <w:t>In particular, we ask that parties addressing the Commission’s past findings that “[t]he weight of scientific evidence has not linked cell phones with any health problems,” that “the current safety limits for cell phones are acceptable for protecting the public health,” that the “totality of the available scientific evidence continues to not support adverse health effects in humans caused by exposures at or under the current radiofrequency energy exposure limits,” and that “no changes to the current standards are warranted at this time</w:t>
      </w:r>
      <w:r w:rsidRPr="00587CCC">
        <w:rPr>
          <w:rFonts w:ascii="Times New Roman" w:hAnsi="Times New Roman" w:cs="Times New Roman"/>
          <w:kern w:val="0"/>
          <w:sz w:val="22"/>
          <w:szCs w:val="22"/>
        </w:rPr>
        <w:t>,”</w:t>
      </w:r>
      <w:r>
        <w:rPr>
          <w:rStyle w:val="FootnoteReference"/>
          <w:rFonts w:cs="Times New Roman"/>
          <w:color w:val="000000" w:themeColor="text1"/>
          <w:szCs w:val="22"/>
        </w:rPr>
        <w:footnoteReference w:id="37"/>
      </w:r>
      <w:r w:rsidR="006557F9">
        <w:rPr>
          <w:rFonts w:ascii="Times New Roman" w:hAnsi="Times New Roman" w:cs="Times New Roman"/>
          <w:kern w:val="0"/>
          <w:sz w:val="22"/>
          <w:szCs w:val="22"/>
        </w:rPr>
        <w:t xml:space="preserve"> </w:t>
      </w:r>
      <w:r w:rsidRPr="00587CCC">
        <w:rPr>
          <w:rFonts w:ascii="Times New Roman" w:hAnsi="Times New Roman" w:cs="Times New Roman"/>
          <w:kern w:val="0"/>
          <w:sz w:val="22"/>
          <w:szCs w:val="22"/>
        </w:rPr>
        <w:t>clearly articulate the factual bases for their positions.</w:t>
      </w:r>
      <w:r w:rsidRPr="00587CCC">
        <w:rPr>
          <w:rFonts w:ascii="Times New Roman" w:hAnsi="Times New Roman" w:cs="Times New Roman"/>
          <w:sz w:val="22"/>
          <w:szCs w:val="22"/>
        </w:rPr>
        <w:t xml:space="preserve">  Commenters who choose to address the body of scientific studies regarding the issues on remand, including the alleged existence of adverse effects to humans from low-level RF exposure, potential impacts on children, and potential health implications of long-term exposure to RF radiation, the ubiquity of wireless devices, and other technological developments that have occurred since the Commission last updated its guidelines, should clearly describe their specialized experience and subject-matter expertise that makes them well qualified to address such matters.</w:t>
      </w:r>
    </w:p>
    <w:p w:rsidR="000C52CD" w:rsidP="00A03C73" w14:paraId="7CDF73F2" w14:textId="77777777">
      <w:pPr>
        <w:autoSpaceDE w:val="0"/>
        <w:autoSpaceDN w:val="0"/>
        <w:adjustRightInd w:val="0"/>
        <w:spacing w:after="0" w:line="240" w:lineRule="auto"/>
        <w:ind w:firstLine="720"/>
        <w:rPr>
          <w:rFonts w:ascii="Times New Roman" w:hAnsi="Times New Roman" w:cs="Times New Roman"/>
          <w:sz w:val="22"/>
          <w:szCs w:val="22"/>
        </w:rPr>
      </w:pPr>
    </w:p>
    <w:p w:rsidR="008E1CE9" w:rsidP="00A03C73" w14:paraId="5BA4A177" w14:textId="3693AB7A">
      <w:pPr>
        <w:autoSpaceDE w:val="0"/>
        <w:autoSpaceDN w:val="0"/>
        <w:adjustRightInd w:val="0"/>
        <w:spacing w:after="0" w:line="240" w:lineRule="auto"/>
        <w:ind w:firstLine="720"/>
        <w:rPr>
          <w:rFonts w:ascii="Times New Roman" w:hAnsi="Times New Roman" w:cs="Times New Roman"/>
          <w:sz w:val="22"/>
          <w:szCs w:val="22"/>
        </w:rPr>
      </w:pPr>
      <w:r>
        <w:rPr>
          <w:rFonts w:ascii="Times New Roman" w:hAnsi="Times New Roman" w:cs="Times New Roman"/>
          <w:sz w:val="22"/>
          <w:szCs w:val="22"/>
        </w:rPr>
        <w:t>As we consider how much weight to give to submissions or studies that</w:t>
      </w:r>
      <w:r w:rsidR="00BD2DE9">
        <w:rPr>
          <w:rFonts w:ascii="Times New Roman" w:hAnsi="Times New Roman" w:cs="Times New Roman"/>
          <w:sz w:val="22"/>
          <w:szCs w:val="22"/>
        </w:rPr>
        <w:t xml:space="preserve"> </w:t>
      </w:r>
      <w:r w:rsidR="00AC229C">
        <w:rPr>
          <w:rFonts w:ascii="Times New Roman" w:hAnsi="Times New Roman" w:cs="Times New Roman"/>
          <w:sz w:val="22"/>
          <w:szCs w:val="22"/>
        </w:rPr>
        <w:t>purport to cast doubt on our RF exposure rules</w:t>
      </w:r>
      <w:r w:rsidR="0012244F">
        <w:rPr>
          <w:rFonts w:ascii="Times New Roman" w:hAnsi="Times New Roman" w:cs="Times New Roman"/>
          <w:sz w:val="22"/>
          <w:szCs w:val="22"/>
        </w:rPr>
        <w:t xml:space="preserve"> </w:t>
      </w:r>
      <w:r w:rsidR="00C43710">
        <w:rPr>
          <w:rFonts w:ascii="Times New Roman" w:hAnsi="Times New Roman" w:cs="Times New Roman"/>
          <w:sz w:val="22"/>
          <w:szCs w:val="22"/>
        </w:rPr>
        <w:t xml:space="preserve">on </w:t>
      </w:r>
      <w:r w:rsidR="0012244F">
        <w:rPr>
          <w:rFonts w:ascii="Times New Roman" w:hAnsi="Times New Roman" w:cs="Times New Roman"/>
          <w:sz w:val="22"/>
          <w:szCs w:val="22"/>
        </w:rPr>
        <w:t>the issues encompassed by the court’s remand</w:t>
      </w:r>
      <w:r w:rsidR="00AC229C">
        <w:rPr>
          <w:rFonts w:ascii="Times New Roman" w:hAnsi="Times New Roman" w:cs="Times New Roman"/>
          <w:sz w:val="22"/>
          <w:szCs w:val="22"/>
        </w:rPr>
        <w:t xml:space="preserve">, we seek comment </w:t>
      </w:r>
      <w:r w:rsidR="00584FE9">
        <w:rPr>
          <w:rFonts w:ascii="Times New Roman" w:hAnsi="Times New Roman" w:cs="Times New Roman"/>
          <w:sz w:val="22"/>
          <w:szCs w:val="22"/>
        </w:rPr>
        <w:t>on</w:t>
      </w:r>
      <w:r w:rsidR="008236D2">
        <w:rPr>
          <w:rFonts w:ascii="Times New Roman" w:hAnsi="Times New Roman" w:cs="Times New Roman"/>
          <w:sz w:val="22"/>
          <w:szCs w:val="22"/>
        </w:rPr>
        <w:t xml:space="preserve"> their</w:t>
      </w:r>
      <w:r w:rsidR="00153219">
        <w:rPr>
          <w:rFonts w:ascii="Times New Roman" w:hAnsi="Times New Roman" w:cs="Times New Roman"/>
          <w:sz w:val="22"/>
          <w:szCs w:val="22"/>
        </w:rPr>
        <w:t xml:space="preserve"> </w:t>
      </w:r>
      <w:r w:rsidR="000E218F">
        <w:rPr>
          <w:rFonts w:ascii="Times New Roman" w:hAnsi="Times New Roman" w:cs="Times New Roman"/>
          <w:sz w:val="22"/>
          <w:szCs w:val="22"/>
        </w:rPr>
        <w:t xml:space="preserve">methodological rigor.  </w:t>
      </w:r>
      <w:r w:rsidR="009223C1">
        <w:rPr>
          <w:rFonts w:ascii="Times New Roman" w:hAnsi="Times New Roman" w:cs="Times New Roman"/>
          <w:sz w:val="22"/>
          <w:szCs w:val="22"/>
        </w:rPr>
        <w:t>What is the scope of such studies</w:t>
      </w:r>
      <w:r w:rsidR="00B52351">
        <w:rPr>
          <w:rFonts w:ascii="Times New Roman" w:hAnsi="Times New Roman" w:cs="Times New Roman"/>
          <w:sz w:val="22"/>
          <w:szCs w:val="22"/>
        </w:rPr>
        <w:t xml:space="preserve">, </w:t>
      </w:r>
      <w:r w:rsidR="000B65D9">
        <w:rPr>
          <w:rFonts w:ascii="Times New Roman" w:hAnsi="Times New Roman" w:cs="Times New Roman"/>
          <w:sz w:val="22"/>
          <w:szCs w:val="22"/>
        </w:rPr>
        <w:t>do they properly</w:t>
      </w:r>
      <w:r w:rsidR="00B52351">
        <w:rPr>
          <w:rFonts w:ascii="Times New Roman" w:hAnsi="Times New Roman" w:cs="Times New Roman"/>
          <w:sz w:val="22"/>
          <w:szCs w:val="22"/>
        </w:rPr>
        <w:t xml:space="preserve"> bear on the remanded issues,</w:t>
      </w:r>
      <w:r w:rsidR="009223C1">
        <w:rPr>
          <w:rFonts w:ascii="Times New Roman" w:hAnsi="Times New Roman" w:cs="Times New Roman"/>
          <w:sz w:val="22"/>
          <w:szCs w:val="22"/>
        </w:rPr>
        <w:t xml:space="preserve"> and </w:t>
      </w:r>
      <w:r w:rsidR="000B65D9">
        <w:rPr>
          <w:rFonts w:ascii="Times New Roman" w:hAnsi="Times New Roman" w:cs="Times New Roman"/>
          <w:sz w:val="22"/>
          <w:szCs w:val="22"/>
        </w:rPr>
        <w:t>do they</w:t>
      </w:r>
      <w:r w:rsidR="009223C1">
        <w:rPr>
          <w:rFonts w:ascii="Times New Roman" w:hAnsi="Times New Roman" w:cs="Times New Roman"/>
          <w:sz w:val="22"/>
          <w:szCs w:val="22"/>
        </w:rPr>
        <w:t xml:space="preserve"> come with any acknowledged caveats?  </w:t>
      </w:r>
      <w:r w:rsidR="00B36DB5">
        <w:rPr>
          <w:rFonts w:ascii="Times New Roman" w:hAnsi="Times New Roman" w:cs="Times New Roman"/>
          <w:sz w:val="22"/>
          <w:szCs w:val="22"/>
        </w:rPr>
        <w:t>Does the</w:t>
      </w:r>
      <w:r w:rsidR="008E6BBB">
        <w:rPr>
          <w:rFonts w:ascii="Times New Roman" w:hAnsi="Times New Roman" w:cs="Times New Roman"/>
          <w:sz w:val="22"/>
          <w:szCs w:val="22"/>
        </w:rPr>
        <w:t xml:space="preserve"> record </w:t>
      </w:r>
      <w:r w:rsidR="00B36DB5">
        <w:rPr>
          <w:rFonts w:ascii="Times New Roman" w:hAnsi="Times New Roman" w:cs="Times New Roman"/>
          <w:sz w:val="22"/>
          <w:szCs w:val="22"/>
        </w:rPr>
        <w:t xml:space="preserve">provide evidence </w:t>
      </w:r>
      <w:r w:rsidR="008E6BBB">
        <w:rPr>
          <w:rFonts w:ascii="Times New Roman" w:hAnsi="Times New Roman" w:cs="Times New Roman"/>
          <w:sz w:val="22"/>
          <w:szCs w:val="22"/>
        </w:rPr>
        <w:t>that such studies</w:t>
      </w:r>
      <w:r>
        <w:rPr>
          <w:rFonts w:ascii="Times New Roman" w:hAnsi="Times New Roman" w:cs="Times New Roman"/>
          <w:sz w:val="22"/>
          <w:szCs w:val="22"/>
        </w:rPr>
        <w:t xml:space="preserve"> have</w:t>
      </w:r>
      <w:r w:rsidR="008E6BBB">
        <w:rPr>
          <w:rFonts w:ascii="Times New Roman" w:hAnsi="Times New Roman" w:cs="Times New Roman"/>
          <w:sz w:val="22"/>
          <w:szCs w:val="22"/>
        </w:rPr>
        <w:t xml:space="preserve"> been replicated?  </w:t>
      </w:r>
      <w:r w:rsidR="00016F32">
        <w:rPr>
          <w:rFonts w:ascii="Times New Roman" w:hAnsi="Times New Roman" w:cs="Times New Roman"/>
          <w:sz w:val="22"/>
          <w:szCs w:val="22"/>
        </w:rPr>
        <w:t xml:space="preserve">Do such studies provide longitudinal evidence of non-cancerous adverse </w:t>
      </w:r>
      <w:r w:rsidR="00AE2379">
        <w:rPr>
          <w:rFonts w:ascii="Times New Roman" w:hAnsi="Times New Roman" w:cs="Times New Roman"/>
          <w:sz w:val="22"/>
          <w:szCs w:val="22"/>
        </w:rPr>
        <w:t>health</w:t>
      </w:r>
      <w:r w:rsidR="00347715">
        <w:rPr>
          <w:rFonts w:ascii="Times New Roman" w:hAnsi="Times New Roman" w:cs="Times New Roman"/>
          <w:sz w:val="22"/>
          <w:szCs w:val="22"/>
        </w:rPr>
        <w:t xml:space="preserve"> </w:t>
      </w:r>
      <w:r w:rsidR="00016F32">
        <w:rPr>
          <w:rFonts w:ascii="Times New Roman" w:hAnsi="Times New Roman" w:cs="Times New Roman"/>
          <w:sz w:val="22"/>
          <w:szCs w:val="22"/>
        </w:rPr>
        <w:t>effects</w:t>
      </w:r>
      <w:r w:rsidR="00B36DB5">
        <w:rPr>
          <w:rFonts w:ascii="Times New Roman" w:hAnsi="Times New Roman" w:cs="Times New Roman"/>
          <w:sz w:val="22"/>
          <w:szCs w:val="22"/>
        </w:rPr>
        <w:t xml:space="preserve"> or environmental harms</w:t>
      </w:r>
      <w:r w:rsidR="00016F32">
        <w:rPr>
          <w:rFonts w:ascii="Times New Roman" w:hAnsi="Times New Roman" w:cs="Times New Roman"/>
          <w:sz w:val="22"/>
          <w:szCs w:val="22"/>
        </w:rPr>
        <w:t xml:space="preserve">?  </w:t>
      </w:r>
      <w:r w:rsidR="00C95CDB">
        <w:rPr>
          <w:rFonts w:ascii="Times New Roman" w:hAnsi="Times New Roman" w:cs="Times New Roman"/>
          <w:sz w:val="22"/>
          <w:szCs w:val="22"/>
        </w:rPr>
        <w:t>Does the record contain epidemiologic evidence that considers the ubiquitous saturation of cell phones in the American population</w:t>
      </w:r>
      <w:r w:rsidR="00C42969">
        <w:rPr>
          <w:rFonts w:ascii="Times New Roman" w:hAnsi="Times New Roman" w:cs="Times New Roman"/>
          <w:sz w:val="22"/>
          <w:szCs w:val="22"/>
        </w:rPr>
        <w:t xml:space="preserve"> over time</w:t>
      </w:r>
      <w:r w:rsidR="00C95CDB">
        <w:rPr>
          <w:rFonts w:ascii="Times New Roman" w:hAnsi="Times New Roman" w:cs="Times New Roman"/>
          <w:sz w:val="22"/>
          <w:szCs w:val="22"/>
        </w:rPr>
        <w:t xml:space="preserve">?  Do </w:t>
      </w:r>
      <w:r w:rsidR="00720A60">
        <w:rPr>
          <w:rFonts w:ascii="Times New Roman" w:hAnsi="Times New Roman" w:cs="Times New Roman"/>
          <w:sz w:val="22"/>
          <w:szCs w:val="22"/>
        </w:rPr>
        <w:t xml:space="preserve">any such studies </w:t>
      </w:r>
      <w:r w:rsidR="00C95CDB">
        <w:rPr>
          <w:rFonts w:ascii="Times New Roman" w:hAnsi="Times New Roman" w:cs="Times New Roman"/>
          <w:sz w:val="22"/>
          <w:szCs w:val="22"/>
        </w:rPr>
        <w:t xml:space="preserve">establish a demonstrated biological mechanism or marker through which such adverse effects are known to occur?  </w:t>
      </w:r>
      <w:r w:rsidR="00B36DB5">
        <w:rPr>
          <w:rFonts w:ascii="Times New Roman" w:hAnsi="Times New Roman" w:cs="Times New Roman"/>
          <w:sz w:val="22"/>
          <w:szCs w:val="22"/>
        </w:rPr>
        <w:t xml:space="preserve">If they </w:t>
      </w:r>
      <w:r w:rsidR="007A10AB">
        <w:rPr>
          <w:rFonts w:ascii="Times New Roman" w:hAnsi="Times New Roman" w:cs="Times New Roman"/>
          <w:sz w:val="22"/>
          <w:szCs w:val="22"/>
        </w:rPr>
        <w:t xml:space="preserve">purport to </w:t>
      </w:r>
      <w:r w:rsidR="00B36DB5">
        <w:rPr>
          <w:rFonts w:ascii="Times New Roman" w:hAnsi="Times New Roman" w:cs="Times New Roman"/>
          <w:sz w:val="22"/>
          <w:szCs w:val="22"/>
        </w:rPr>
        <w:t>establish proxies</w:t>
      </w:r>
      <w:r w:rsidR="00EB7F4C">
        <w:rPr>
          <w:rFonts w:ascii="Times New Roman" w:hAnsi="Times New Roman" w:cs="Times New Roman"/>
          <w:sz w:val="22"/>
          <w:szCs w:val="22"/>
        </w:rPr>
        <w:t xml:space="preserve"> such as oxidative effects</w:t>
      </w:r>
      <w:r w:rsidR="00B36DB5">
        <w:rPr>
          <w:rFonts w:ascii="Times New Roman" w:hAnsi="Times New Roman" w:cs="Times New Roman"/>
          <w:sz w:val="22"/>
          <w:szCs w:val="22"/>
        </w:rPr>
        <w:t>, to what extent</w:t>
      </w:r>
      <w:r w:rsidR="00C42969">
        <w:rPr>
          <w:rFonts w:ascii="Times New Roman" w:hAnsi="Times New Roman" w:cs="Times New Roman"/>
          <w:sz w:val="22"/>
          <w:szCs w:val="22"/>
        </w:rPr>
        <w:t xml:space="preserve"> do</w:t>
      </w:r>
      <w:r w:rsidR="00B36DB5">
        <w:rPr>
          <w:rFonts w:ascii="Times New Roman" w:hAnsi="Times New Roman" w:cs="Times New Roman"/>
          <w:sz w:val="22"/>
          <w:szCs w:val="22"/>
        </w:rPr>
        <w:t xml:space="preserve"> those proxies establish adverse </w:t>
      </w:r>
      <w:r w:rsidR="00AE2379">
        <w:rPr>
          <w:rFonts w:ascii="Times New Roman" w:hAnsi="Times New Roman" w:cs="Times New Roman"/>
          <w:sz w:val="22"/>
          <w:szCs w:val="22"/>
        </w:rPr>
        <w:t>health</w:t>
      </w:r>
      <w:r w:rsidR="00B36DB5">
        <w:rPr>
          <w:rFonts w:ascii="Times New Roman" w:hAnsi="Times New Roman" w:cs="Times New Roman"/>
          <w:sz w:val="22"/>
          <w:szCs w:val="22"/>
        </w:rPr>
        <w:t xml:space="preserve"> effects?</w:t>
      </w:r>
      <w:r w:rsidR="004F1FA8">
        <w:rPr>
          <w:rFonts w:ascii="Times New Roman" w:hAnsi="Times New Roman" w:cs="Times New Roman"/>
          <w:sz w:val="22"/>
          <w:szCs w:val="22"/>
        </w:rPr>
        <w:t xml:space="preserve">  </w:t>
      </w:r>
      <w:r w:rsidR="00C42969">
        <w:rPr>
          <w:rFonts w:ascii="Times New Roman" w:hAnsi="Times New Roman" w:cs="Times New Roman"/>
          <w:sz w:val="22"/>
          <w:szCs w:val="22"/>
        </w:rPr>
        <w:t>If</w:t>
      </w:r>
      <w:r w:rsidR="00584FE9">
        <w:rPr>
          <w:rFonts w:ascii="Times New Roman" w:hAnsi="Times New Roman" w:cs="Times New Roman"/>
          <w:sz w:val="22"/>
          <w:szCs w:val="22"/>
        </w:rPr>
        <w:t xml:space="preserve"> they</w:t>
      </w:r>
      <w:r w:rsidR="00C42969">
        <w:rPr>
          <w:rFonts w:ascii="Times New Roman" w:hAnsi="Times New Roman" w:cs="Times New Roman"/>
          <w:sz w:val="22"/>
          <w:szCs w:val="22"/>
        </w:rPr>
        <w:t xml:space="preserve"> purport to show</w:t>
      </w:r>
      <w:r w:rsidR="00584FE9">
        <w:rPr>
          <w:rFonts w:ascii="Times New Roman" w:hAnsi="Times New Roman" w:cs="Times New Roman"/>
          <w:sz w:val="22"/>
          <w:szCs w:val="22"/>
        </w:rPr>
        <w:t xml:space="preserve"> adverse </w:t>
      </w:r>
      <w:r w:rsidR="00C42969">
        <w:rPr>
          <w:rFonts w:ascii="Times New Roman" w:hAnsi="Times New Roman" w:cs="Times New Roman"/>
          <w:sz w:val="22"/>
          <w:szCs w:val="22"/>
        </w:rPr>
        <w:t xml:space="preserve">health </w:t>
      </w:r>
      <w:r w:rsidR="00584FE9">
        <w:rPr>
          <w:rFonts w:ascii="Times New Roman" w:hAnsi="Times New Roman" w:cs="Times New Roman"/>
          <w:sz w:val="22"/>
          <w:szCs w:val="22"/>
        </w:rPr>
        <w:t>effects on humans</w:t>
      </w:r>
      <w:r w:rsidR="00C42969">
        <w:rPr>
          <w:rFonts w:ascii="Times New Roman" w:hAnsi="Times New Roman" w:cs="Times New Roman"/>
          <w:sz w:val="22"/>
          <w:szCs w:val="22"/>
        </w:rPr>
        <w:t xml:space="preserve">, do they </w:t>
      </w:r>
      <w:r w:rsidR="00584FE9">
        <w:rPr>
          <w:rFonts w:ascii="Times New Roman" w:hAnsi="Times New Roman" w:cs="Times New Roman"/>
          <w:sz w:val="22"/>
          <w:szCs w:val="22"/>
        </w:rPr>
        <w:t xml:space="preserve">properly distinguish </w:t>
      </w:r>
      <w:r w:rsidR="003126C8">
        <w:rPr>
          <w:rFonts w:ascii="Times New Roman" w:hAnsi="Times New Roman" w:cs="Times New Roman"/>
          <w:sz w:val="22"/>
          <w:szCs w:val="22"/>
        </w:rPr>
        <w:t>correlation</w:t>
      </w:r>
      <w:r w:rsidR="00584FE9">
        <w:rPr>
          <w:rFonts w:ascii="Times New Roman" w:hAnsi="Times New Roman" w:cs="Times New Roman"/>
          <w:sz w:val="22"/>
          <w:szCs w:val="22"/>
        </w:rPr>
        <w:t xml:space="preserve"> from </w:t>
      </w:r>
      <w:r w:rsidR="003126C8">
        <w:rPr>
          <w:rFonts w:ascii="Times New Roman" w:hAnsi="Times New Roman" w:cs="Times New Roman"/>
          <w:sz w:val="22"/>
          <w:szCs w:val="22"/>
        </w:rPr>
        <w:t>causation</w:t>
      </w:r>
      <w:r w:rsidR="00584FE9">
        <w:rPr>
          <w:rFonts w:ascii="Times New Roman" w:hAnsi="Times New Roman" w:cs="Times New Roman"/>
          <w:sz w:val="22"/>
          <w:szCs w:val="22"/>
        </w:rPr>
        <w:t xml:space="preserve">?  </w:t>
      </w:r>
      <w:r w:rsidR="00160916">
        <w:rPr>
          <w:rFonts w:ascii="Times New Roman" w:hAnsi="Times New Roman" w:cs="Times New Roman"/>
          <w:sz w:val="22"/>
          <w:szCs w:val="22"/>
        </w:rPr>
        <w:t>If they purport to be based on literature review, are the reviews based on weight of scientific evidence?</w:t>
      </w:r>
      <w:r w:rsidR="00584FE9">
        <w:rPr>
          <w:rFonts w:ascii="Times New Roman" w:hAnsi="Times New Roman" w:cs="Times New Roman"/>
          <w:sz w:val="22"/>
          <w:szCs w:val="22"/>
        </w:rPr>
        <w:t xml:space="preserve">  </w:t>
      </w:r>
      <w:r w:rsidR="00347715">
        <w:rPr>
          <w:rFonts w:ascii="Times New Roman" w:hAnsi="Times New Roman" w:cs="Times New Roman"/>
          <w:sz w:val="22"/>
          <w:szCs w:val="22"/>
        </w:rPr>
        <w:t>Are they based on self-reported data?  Do they measure RF exposure through properly calibrated instrument</w:t>
      </w:r>
      <w:r w:rsidR="00A328EA">
        <w:rPr>
          <w:rFonts w:ascii="Times New Roman" w:hAnsi="Times New Roman" w:cs="Times New Roman"/>
          <w:sz w:val="22"/>
          <w:szCs w:val="22"/>
        </w:rPr>
        <w:t>s</w:t>
      </w:r>
      <w:r w:rsidR="00347715">
        <w:rPr>
          <w:rFonts w:ascii="Times New Roman" w:hAnsi="Times New Roman" w:cs="Times New Roman"/>
          <w:sz w:val="22"/>
          <w:szCs w:val="22"/>
        </w:rPr>
        <w:t xml:space="preserve"> </w:t>
      </w:r>
      <w:r w:rsidR="00A13D11">
        <w:rPr>
          <w:rFonts w:ascii="Times New Roman" w:hAnsi="Times New Roman" w:cs="Times New Roman"/>
          <w:sz w:val="22"/>
          <w:szCs w:val="22"/>
        </w:rPr>
        <w:t xml:space="preserve">and </w:t>
      </w:r>
      <w:r w:rsidR="00347715">
        <w:rPr>
          <w:rFonts w:ascii="Times New Roman" w:hAnsi="Times New Roman" w:cs="Times New Roman"/>
          <w:sz w:val="22"/>
          <w:szCs w:val="22"/>
        </w:rPr>
        <w:t xml:space="preserve">accepted scientific methods?  </w:t>
      </w:r>
      <w:r w:rsidR="00296FA4">
        <w:rPr>
          <w:rFonts w:ascii="Times New Roman" w:hAnsi="Times New Roman" w:cs="Times New Roman"/>
          <w:sz w:val="22"/>
          <w:szCs w:val="22"/>
        </w:rPr>
        <w:t xml:space="preserve">Is dosimetry properly controlled, evaluated and documented?  Are multiple exposure levels studied to establish a dose-response relationship, and do they substantiate an adverse health effect in humans at exposure levels below </w:t>
      </w:r>
      <w:r w:rsidR="009B5AC4">
        <w:rPr>
          <w:rFonts w:ascii="Times New Roman" w:hAnsi="Times New Roman" w:cs="Times New Roman"/>
          <w:sz w:val="22"/>
          <w:szCs w:val="22"/>
        </w:rPr>
        <w:t>Commission</w:t>
      </w:r>
      <w:r w:rsidR="00296FA4">
        <w:rPr>
          <w:rFonts w:ascii="Times New Roman" w:hAnsi="Times New Roman" w:cs="Times New Roman"/>
          <w:sz w:val="22"/>
          <w:szCs w:val="22"/>
        </w:rPr>
        <w:t xml:space="preserve"> limits?</w:t>
      </w:r>
      <w:r w:rsidR="00347715">
        <w:rPr>
          <w:rFonts w:ascii="Times New Roman" w:hAnsi="Times New Roman" w:cs="Times New Roman"/>
          <w:sz w:val="22"/>
          <w:szCs w:val="22"/>
        </w:rPr>
        <w:t xml:space="preserve">  </w:t>
      </w:r>
      <w:r w:rsidR="00B47D5C">
        <w:rPr>
          <w:rFonts w:ascii="Times New Roman" w:hAnsi="Times New Roman" w:cs="Times New Roman"/>
          <w:sz w:val="22"/>
          <w:szCs w:val="22"/>
        </w:rPr>
        <w:t>Do they control for confounding factors</w:t>
      </w:r>
      <w:r w:rsidR="00584FE9">
        <w:rPr>
          <w:rFonts w:ascii="Times New Roman" w:hAnsi="Times New Roman" w:cs="Times New Roman"/>
          <w:sz w:val="22"/>
          <w:szCs w:val="22"/>
        </w:rPr>
        <w:t xml:space="preserve">?  </w:t>
      </w:r>
      <w:r w:rsidR="00296FA4">
        <w:rPr>
          <w:rFonts w:ascii="Times New Roman" w:hAnsi="Times New Roman" w:cs="Times New Roman"/>
          <w:sz w:val="22"/>
          <w:szCs w:val="22"/>
        </w:rPr>
        <w:t>Are proper controls and blinding procedures implemented in the study design?</w:t>
      </w:r>
      <w:r w:rsidR="00584FE9">
        <w:rPr>
          <w:rFonts w:ascii="Times New Roman" w:hAnsi="Times New Roman" w:cs="Times New Roman"/>
          <w:sz w:val="22"/>
          <w:szCs w:val="22"/>
        </w:rPr>
        <w:t xml:space="preserve">  </w:t>
      </w:r>
      <w:r w:rsidR="00D931FA">
        <w:rPr>
          <w:rFonts w:ascii="Times New Roman" w:hAnsi="Times New Roman" w:cs="Times New Roman"/>
          <w:sz w:val="22"/>
          <w:szCs w:val="22"/>
        </w:rPr>
        <w:t>Are they based on representative sample sets</w:t>
      </w:r>
      <w:r w:rsidR="00AC2C7D">
        <w:rPr>
          <w:rFonts w:ascii="Times New Roman" w:hAnsi="Times New Roman" w:cs="Times New Roman"/>
          <w:sz w:val="22"/>
          <w:szCs w:val="22"/>
        </w:rPr>
        <w:t xml:space="preserve">?  </w:t>
      </w:r>
      <w:r w:rsidR="000443D1">
        <w:rPr>
          <w:rFonts w:ascii="Times New Roman" w:hAnsi="Times New Roman" w:cs="Times New Roman"/>
          <w:sz w:val="22"/>
          <w:szCs w:val="22"/>
        </w:rPr>
        <w:t xml:space="preserve">Are </w:t>
      </w:r>
      <w:r w:rsidR="00296FA4">
        <w:rPr>
          <w:rFonts w:ascii="Times New Roman" w:hAnsi="Times New Roman" w:cs="Times New Roman"/>
          <w:sz w:val="22"/>
          <w:szCs w:val="22"/>
        </w:rPr>
        <w:t xml:space="preserve">statistical analyses properly performed and </w:t>
      </w:r>
      <w:r w:rsidR="000443D1">
        <w:rPr>
          <w:rFonts w:ascii="Times New Roman" w:hAnsi="Times New Roman" w:cs="Times New Roman"/>
          <w:sz w:val="22"/>
          <w:szCs w:val="22"/>
        </w:rPr>
        <w:t xml:space="preserve">sample sets of sufficient size to </w:t>
      </w:r>
      <w:r w:rsidR="00296FA4">
        <w:rPr>
          <w:rFonts w:ascii="Times New Roman" w:hAnsi="Times New Roman" w:cs="Times New Roman"/>
          <w:sz w:val="22"/>
          <w:szCs w:val="22"/>
        </w:rPr>
        <w:t>support conclusions?</w:t>
      </w:r>
      <w:r w:rsidR="00AC2C7D">
        <w:rPr>
          <w:rFonts w:ascii="Times New Roman" w:hAnsi="Times New Roman" w:cs="Times New Roman"/>
          <w:sz w:val="22"/>
          <w:szCs w:val="22"/>
        </w:rPr>
        <w:t xml:space="preserve">  If they are based on </w:t>
      </w:r>
      <w:r w:rsidR="007B0C50">
        <w:rPr>
          <w:rFonts w:ascii="Times New Roman" w:hAnsi="Times New Roman" w:cs="Times New Roman"/>
          <w:sz w:val="22"/>
          <w:szCs w:val="22"/>
        </w:rPr>
        <w:t xml:space="preserve">experiments or testing in </w:t>
      </w:r>
      <w:r w:rsidR="00D931FA">
        <w:rPr>
          <w:rFonts w:ascii="Times New Roman" w:hAnsi="Times New Roman" w:cs="Times New Roman"/>
          <w:sz w:val="22"/>
          <w:szCs w:val="22"/>
        </w:rPr>
        <w:t>controlled environments</w:t>
      </w:r>
      <w:r w:rsidR="00AC2C7D">
        <w:rPr>
          <w:rFonts w:ascii="Times New Roman" w:hAnsi="Times New Roman" w:cs="Times New Roman"/>
          <w:sz w:val="22"/>
          <w:szCs w:val="22"/>
        </w:rPr>
        <w:t>, do those environments credibly</w:t>
      </w:r>
      <w:r w:rsidR="00EB7F4C">
        <w:rPr>
          <w:rFonts w:ascii="Times New Roman" w:hAnsi="Times New Roman" w:cs="Times New Roman"/>
          <w:sz w:val="22"/>
          <w:szCs w:val="22"/>
        </w:rPr>
        <w:t xml:space="preserve"> resemble </w:t>
      </w:r>
      <w:r w:rsidR="00AC2C7D">
        <w:rPr>
          <w:rFonts w:ascii="Times New Roman" w:hAnsi="Times New Roman" w:cs="Times New Roman"/>
          <w:sz w:val="22"/>
          <w:szCs w:val="22"/>
        </w:rPr>
        <w:t xml:space="preserve">realistic </w:t>
      </w:r>
      <w:r w:rsidR="00EB7F4C">
        <w:rPr>
          <w:rFonts w:ascii="Times New Roman" w:hAnsi="Times New Roman" w:cs="Times New Roman"/>
          <w:sz w:val="22"/>
          <w:szCs w:val="22"/>
        </w:rPr>
        <w:t>deployment scenarios</w:t>
      </w:r>
      <w:r w:rsidR="00AC2C7D">
        <w:rPr>
          <w:rFonts w:ascii="Times New Roman" w:hAnsi="Times New Roman" w:cs="Times New Roman"/>
          <w:sz w:val="22"/>
          <w:szCs w:val="22"/>
        </w:rPr>
        <w:t xml:space="preserve"> in the United States</w:t>
      </w:r>
      <w:r w:rsidR="00D931FA">
        <w:rPr>
          <w:rFonts w:ascii="Times New Roman" w:hAnsi="Times New Roman" w:cs="Times New Roman"/>
          <w:sz w:val="22"/>
          <w:szCs w:val="22"/>
        </w:rPr>
        <w:t xml:space="preserve">?  </w:t>
      </w:r>
      <w:r w:rsidR="00584FE9">
        <w:rPr>
          <w:rFonts w:ascii="Times New Roman" w:hAnsi="Times New Roman" w:cs="Times New Roman"/>
          <w:sz w:val="22"/>
          <w:szCs w:val="22"/>
        </w:rPr>
        <w:t>If such studies are based on</w:t>
      </w:r>
      <w:r w:rsidR="00D931FA">
        <w:rPr>
          <w:rFonts w:ascii="Times New Roman" w:hAnsi="Times New Roman" w:cs="Times New Roman"/>
          <w:sz w:val="22"/>
          <w:szCs w:val="22"/>
        </w:rPr>
        <w:t xml:space="preserve"> animal-based </w:t>
      </w:r>
      <w:r w:rsidR="00584FE9">
        <w:rPr>
          <w:rFonts w:ascii="Times New Roman" w:hAnsi="Times New Roman" w:cs="Times New Roman"/>
          <w:sz w:val="22"/>
          <w:szCs w:val="22"/>
        </w:rPr>
        <w:t xml:space="preserve">experiments, </w:t>
      </w:r>
      <w:r w:rsidR="00AC2C7D">
        <w:rPr>
          <w:rFonts w:ascii="Times New Roman" w:hAnsi="Times New Roman" w:cs="Times New Roman"/>
          <w:sz w:val="22"/>
          <w:szCs w:val="22"/>
        </w:rPr>
        <w:t>to</w:t>
      </w:r>
      <w:r w:rsidR="00584FE9">
        <w:rPr>
          <w:rFonts w:ascii="Times New Roman" w:hAnsi="Times New Roman" w:cs="Times New Roman"/>
          <w:sz w:val="22"/>
          <w:szCs w:val="22"/>
        </w:rPr>
        <w:t xml:space="preserve"> what extent do they properly establish </w:t>
      </w:r>
      <w:r w:rsidR="00D931FA">
        <w:rPr>
          <w:rFonts w:ascii="Times New Roman" w:hAnsi="Times New Roman" w:cs="Times New Roman"/>
          <w:sz w:val="22"/>
          <w:szCs w:val="22"/>
        </w:rPr>
        <w:t>adverse</w:t>
      </w:r>
      <w:r w:rsidR="00584FE9">
        <w:rPr>
          <w:rFonts w:ascii="Times New Roman" w:hAnsi="Times New Roman" w:cs="Times New Roman"/>
          <w:sz w:val="22"/>
          <w:szCs w:val="22"/>
        </w:rPr>
        <w:t xml:space="preserve"> health</w:t>
      </w:r>
      <w:r w:rsidR="00D931FA">
        <w:rPr>
          <w:rFonts w:ascii="Times New Roman" w:hAnsi="Times New Roman" w:cs="Times New Roman"/>
          <w:sz w:val="22"/>
          <w:szCs w:val="22"/>
        </w:rPr>
        <w:t xml:space="preserve"> effects on humans?       </w:t>
      </w:r>
      <w:r w:rsidR="000E218F">
        <w:rPr>
          <w:rFonts w:ascii="Times New Roman" w:hAnsi="Times New Roman" w:cs="Times New Roman"/>
          <w:sz w:val="22"/>
          <w:szCs w:val="22"/>
        </w:rPr>
        <w:t xml:space="preserve">   </w:t>
      </w:r>
      <w:r w:rsidR="00AC229C">
        <w:rPr>
          <w:rFonts w:ascii="Times New Roman" w:hAnsi="Times New Roman" w:cs="Times New Roman"/>
          <w:sz w:val="22"/>
          <w:szCs w:val="22"/>
        </w:rPr>
        <w:t xml:space="preserve"> </w:t>
      </w:r>
    </w:p>
    <w:p w:rsidR="008D44FB" w:rsidRPr="00587CCC" w:rsidP="00A03C73" w14:paraId="70826416" w14:textId="77777777">
      <w:pPr>
        <w:autoSpaceDE w:val="0"/>
        <w:autoSpaceDN w:val="0"/>
        <w:adjustRightInd w:val="0"/>
        <w:spacing w:after="0" w:line="240" w:lineRule="auto"/>
        <w:rPr>
          <w:rFonts w:ascii="Times New Roman" w:hAnsi="Times New Roman" w:cs="Times New Roman"/>
          <w:sz w:val="22"/>
          <w:szCs w:val="22"/>
        </w:rPr>
      </w:pPr>
    </w:p>
    <w:p w:rsidR="00B16BF1" w:rsidP="00A03C73" w14:paraId="2B627221" w14:textId="5925D409">
      <w:pPr>
        <w:autoSpaceDE w:val="0"/>
        <w:autoSpaceDN w:val="0"/>
        <w:adjustRightInd w:val="0"/>
        <w:spacing w:after="0" w:line="240" w:lineRule="auto"/>
        <w:ind w:firstLine="720"/>
        <w:rPr>
          <w:rFonts w:ascii="Times New Roman" w:hAnsi="Times New Roman" w:cs="Times New Roman"/>
          <w:color w:val="000000" w:themeColor="text1"/>
          <w:sz w:val="22"/>
          <w:szCs w:val="22"/>
        </w:rPr>
      </w:pPr>
      <w:r w:rsidRPr="00587CCC">
        <w:rPr>
          <w:rFonts w:ascii="Times New Roman" w:hAnsi="Times New Roman" w:cs="Times New Roman"/>
          <w:color w:val="000000" w:themeColor="text1"/>
          <w:sz w:val="22"/>
          <w:szCs w:val="22"/>
        </w:rPr>
        <w:t xml:space="preserve">While the scope of issues the Commission invites comment on is narrowly confined to </w:t>
      </w:r>
      <w:r w:rsidR="008D44FB">
        <w:rPr>
          <w:rFonts w:ascii="Times New Roman" w:hAnsi="Times New Roman" w:cs="Times New Roman"/>
          <w:color w:val="000000" w:themeColor="text1"/>
          <w:sz w:val="22"/>
          <w:szCs w:val="22"/>
        </w:rPr>
        <w:t xml:space="preserve">record evidence that was properly before the court in </w:t>
      </w:r>
      <w:r w:rsidRPr="008D44FB" w:rsidR="008D44FB">
        <w:rPr>
          <w:rFonts w:ascii="Times New Roman" w:hAnsi="Times New Roman" w:cs="Times New Roman"/>
          <w:i/>
          <w:color w:val="000000" w:themeColor="text1"/>
          <w:sz w:val="22"/>
          <w:szCs w:val="22"/>
        </w:rPr>
        <w:t xml:space="preserve">Environmental Health </w:t>
      </w:r>
      <w:r w:rsidRPr="004C5FB4" w:rsidR="008D44FB">
        <w:rPr>
          <w:rFonts w:ascii="Times New Roman" w:hAnsi="Times New Roman" w:cs="Times New Roman"/>
          <w:i/>
          <w:color w:val="000000" w:themeColor="text1"/>
          <w:sz w:val="22"/>
          <w:szCs w:val="22"/>
        </w:rPr>
        <w:t>Trust</w:t>
      </w:r>
      <w:r w:rsidRPr="004C5FB4">
        <w:rPr>
          <w:rFonts w:ascii="Times New Roman" w:hAnsi="Times New Roman" w:cs="Times New Roman"/>
          <w:color w:val="000000" w:themeColor="text1"/>
          <w:sz w:val="22"/>
          <w:szCs w:val="22"/>
        </w:rPr>
        <w:t xml:space="preserve">, we invite the broadest range of commenters to </w:t>
      </w:r>
      <w:r w:rsidRPr="004C5FB4" w:rsidR="00111977">
        <w:rPr>
          <w:rFonts w:ascii="Times New Roman" w:hAnsi="Times New Roman" w:cs="Times New Roman"/>
          <w:color w:val="000000" w:themeColor="text1"/>
          <w:sz w:val="22"/>
          <w:szCs w:val="22"/>
        </w:rPr>
        <w:t xml:space="preserve">participate, </w:t>
      </w:r>
      <w:r w:rsidRPr="004C5FB4">
        <w:rPr>
          <w:rFonts w:ascii="Times New Roman" w:hAnsi="Times New Roman" w:cs="Times New Roman"/>
          <w:color w:val="000000" w:themeColor="text1"/>
          <w:sz w:val="22"/>
          <w:szCs w:val="22"/>
        </w:rPr>
        <w:t>includ</w:t>
      </w:r>
      <w:r w:rsidRPr="004C5FB4" w:rsidR="00111977">
        <w:rPr>
          <w:rFonts w:ascii="Times New Roman" w:hAnsi="Times New Roman" w:cs="Times New Roman"/>
          <w:color w:val="000000" w:themeColor="text1"/>
          <w:sz w:val="22"/>
          <w:szCs w:val="22"/>
        </w:rPr>
        <w:t>ing</w:t>
      </w:r>
      <w:r w:rsidRPr="004C5FB4">
        <w:rPr>
          <w:rFonts w:ascii="Times New Roman" w:hAnsi="Times New Roman" w:cs="Times New Roman"/>
          <w:color w:val="000000" w:themeColor="text1"/>
          <w:sz w:val="22"/>
          <w:szCs w:val="22"/>
        </w:rPr>
        <w:t xml:space="preserve"> </w:t>
      </w:r>
      <w:r w:rsidRPr="004C5FB4" w:rsidR="00FC43A4">
        <w:rPr>
          <w:rFonts w:ascii="Times New Roman" w:hAnsi="Times New Roman" w:cs="Times New Roman"/>
          <w:color w:val="000000" w:themeColor="text1"/>
          <w:sz w:val="22"/>
          <w:szCs w:val="22"/>
        </w:rPr>
        <w:t xml:space="preserve">local, state, federal, and </w:t>
      </w:r>
      <w:r w:rsidRPr="004C5FB4">
        <w:rPr>
          <w:rFonts w:ascii="Times New Roman" w:hAnsi="Times New Roman" w:cs="Times New Roman"/>
          <w:color w:val="000000" w:themeColor="text1"/>
          <w:sz w:val="22"/>
          <w:szCs w:val="22"/>
        </w:rPr>
        <w:t>international health and safety agencies, science-based standard-</w:t>
      </w:r>
      <w:r w:rsidRPr="00587CCC">
        <w:rPr>
          <w:rFonts w:ascii="Times New Roman" w:hAnsi="Times New Roman" w:cs="Times New Roman"/>
          <w:color w:val="000000" w:themeColor="text1"/>
          <w:sz w:val="22"/>
          <w:szCs w:val="22"/>
        </w:rPr>
        <w:t>setting organizations that are active in this area, and other interested parties.</w:t>
      </w:r>
      <w:r>
        <w:rPr>
          <w:rStyle w:val="FootnoteReference"/>
          <w:rFonts w:cs="Times New Roman"/>
          <w:color w:val="000000" w:themeColor="text1"/>
          <w:szCs w:val="22"/>
        </w:rPr>
        <w:footnoteReference w:id="38"/>
      </w:r>
      <w:r w:rsidRPr="00587CCC">
        <w:rPr>
          <w:rFonts w:ascii="Times New Roman" w:hAnsi="Times New Roman" w:cs="Times New Roman"/>
          <w:color w:val="000000" w:themeColor="text1"/>
          <w:sz w:val="22"/>
          <w:szCs w:val="22"/>
        </w:rPr>
        <w:t xml:space="preserve">  These include, but are not limited to, NCRP, IEEE, the </w:t>
      </w:r>
      <w:r w:rsidRPr="00587CCC">
        <w:rPr>
          <w:rFonts w:ascii="Times New Roman" w:hAnsi="Times New Roman" w:cs="Times New Roman"/>
          <w:sz w:val="22"/>
          <w:szCs w:val="22"/>
        </w:rPr>
        <w:t>International Commission on Non-Ionizing Radiation Protection (ICNIRP),</w:t>
      </w:r>
      <w:r w:rsidRPr="00587CCC">
        <w:rPr>
          <w:rStyle w:val="FootnoteReference"/>
          <w:rFonts w:cs="Times New Roman"/>
          <w:color w:val="000000" w:themeColor="text1"/>
          <w:szCs w:val="22"/>
        </w:rPr>
        <w:t xml:space="preserve"> </w:t>
      </w:r>
      <w:r w:rsidRPr="00587CCC">
        <w:rPr>
          <w:rFonts w:ascii="Times New Roman" w:hAnsi="Times New Roman" w:cs="Times New Roman"/>
          <w:color w:val="000000" w:themeColor="text1"/>
          <w:sz w:val="22"/>
          <w:szCs w:val="22"/>
        </w:rPr>
        <w:t xml:space="preserve">and parties directly engaged with </w:t>
      </w:r>
      <w:r w:rsidRPr="00587CCC">
        <w:rPr>
          <w:rFonts w:ascii="Times New Roman" w:hAnsi="Times New Roman" w:cs="Times New Roman"/>
          <w:sz w:val="22"/>
          <w:szCs w:val="22"/>
        </w:rPr>
        <w:t>other competent</w:t>
      </w:r>
      <w:r w:rsidRPr="00587CCC">
        <w:rPr>
          <w:rFonts w:ascii="Times New Roman" w:hAnsi="Times New Roman" w:cs="Times New Roman"/>
          <w:color w:val="000000" w:themeColor="text1"/>
          <w:sz w:val="22"/>
          <w:szCs w:val="22"/>
        </w:rPr>
        <w:t xml:space="preserve"> bodies that are involved in this area.</w:t>
      </w:r>
      <w:r>
        <w:rPr>
          <w:rStyle w:val="FootnoteReference"/>
          <w:rFonts w:cs="Times New Roman"/>
          <w:color w:val="000000" w:themeColor="text1"/>
          <w:szCs w:val="22"/>
        </w:rPr>
        <w:footnoteReference w:id="39"/>
      </w:r>
      <w:r w:rsidRPr="00587CCC">
        <w:rPr>
          <w:rFonts w:ascii="Times New Roman" w:hAnsi="Times New Roman" w:cs="Times New Roman"/>
          <w:color w:val="000000" w:themeColor="text1"/>
          <w:sz w:val="22"/>
          <w:szCs w:val="22"/>
        </w:rPr>
        <w:t xml:space="preserve">  These entities have published standards, articles,</w:t>
      </w:r>
      <w:r w:rsidRPr="00587CCC">
        <w:rPr>
          <w:rFonts w:ascii="Times New Roman" w:hAnsi="Times New Roman" w:cs="Times New Roman"/>
          <w:sz w:val="22"/>
          <w:szCs w:val="22"/>
        </w:rPr>
        <w:t xml:space="preserve"> or information related to RF exposure</w:t>
      </w:r>
      <w:r w:rsidR="008D44FB">
        <w:rPr>
          <w:rFonts w:ascii="Times New Roman" w:hAnsi="Times New Roman" w:cs="Times New Roman"/>
          <w:sz w:val="22"/>
          <w:szCs w:val="22"/>
        </w:rPr>
        <w:t xml:space="preserve"> </w:t>
      </w:r>
      <w:r w:rsidRPr="00587CCC">
        <w:rPr>
          <w:rFonts w:ascii="Times New Roman" w:hAnsi="Times New Roman" w:cs="Times New Roman"/>
          <w:color w:val="000000" w:themeColor="text1"/>
          <w:sz w:val="22"/>
          <w:szCs w:val="22"/>
        </w:rPr>
        <w:t xml:space="preserve">that may assist in </w:t>
      </w:r>
      <w:r w:rsidRPr="004C5FB4">
        <w:rPr>
          <w:rFonts w:ascii="Times New Roman" w:hAnsi="Times New Roman" w:cs="Times New Roman"/>
          <w:color w:val="000000" w:themeColor="text1"/>
          <w:sz w:val="22"/>
          <w:szCs w:val="22"/>
        </w:rPr>
        <w:t>responding to the court’s remand</w:t>
      </w:r>
      <w:r w:rsidRPr="00587CCC">
        <w:rPr>
          <w:rFonts w:ascii="Times New Roman" w:hAnsi="Times New Roman" w:cs="Times New Roman"/>
          <w:color w:val="000000" w:themeColor="text1"/>
          <w:sz w:val="22"/>
          <w:szCs w:val="22"/>
        </w:rPr>
        <w:t>.</w:t>
      </w:r>
      <w:r>
        <w:rPr>
          <w:rStyle w:val="FootnoteReference"/>
          <w:rFonts w:cs="Times New Roman"/>
          <w:szCs w:val="22"/>
        </w:rPr>
        <w:footnoteReference w:id="40"/>
      </w:r>
      <w:r w:rsidRPr="00587CCC">
        <w:rPr>
          <w:rFonts w:ascii="Times New Roman" w:hAnsi="Times New Roman" w:cs="Times New Roman"/>
          <w:color w:val="000000" w:themeColor="text1"/>
          <w:sz w:val="22"/>
          <w:szCs w:val="22"/>
        </w:rPr>
        <w:t xml:space="preserve">  </w:t>
      </w:r>
    </w:p>
    <w:p w:rsidR="000C52CD" w:rsidP="00A03C73" w14:paraId="3DADFC37" w14:textId="77777777">
      <w:pPr>
        <w:autoSpaceDE w:val="0"/>
        <w:autoSpaceDN w:val="0"/>
        <w:adjustRightInd w:val="0"/>
        <w:spacing w:after="0" w:line="240" w:lineRule="auto"/>
        <w:rPr>
          <w:rFonts w:ascii="Times New Roman" w:hAnsi="Times New Roman" w:cs="Times New Roman"/>
          <w:color w:val="000000" w:themeColor="text1"/>
          <w:sz w:val="22"/>
          <w:szCs w:val="22"/>
        </w:rPr>
      </w:pPr>
    </w:p>
    <w:p w:rsidR="000C52CD" w:rsidRPr="00587CCC" w:rsidP="00A03C73" w14:paraId="1008ACE1" w14:textId="38F003E9">
      <w:pPr>
        <w:autoSpaceDE w:val="0"/>
        <w:autoSpaceDN w:val="0"/>
        <w:adjustRightInd w:val="0"/>
        <w:spacing w:after="0" w:line="240" w:lineRule="auto"/>
        <w:jc w:val="center"/>
        <w:rPr>
          <w:rFonts w:ascii="Times New Roman" w:hAnsi="Times New Roman" w:cs="Times New Roman"/>
          <w:sz w:val="22"/>
          <w:szCs w:val="22"/>
        </w:rPr>
      </w:pPr>
      <w:r>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ab/>
        <w:t>*</w:t>
      </w:r>
      <w:r>
        <w:rPr>
          <w:rFonts w:ascii="Times New Roman" w:hAnsi="Times New Roman" w:cs="Times New Roman"/>
          <w:color w:val="000000" w:themeColor="text1"/>
          <w:sz w:val="22"/>
          <w:szCs w:val="22"/>
        </w:rPr>
        <w:tab/>
        <w:t>*</w:t>
      </w:r>
    </w:p>
    <w:p w:rsidR="00651AF3" w:rsidP="00A03C73" w14:paraId="722B9591" w14:textId="7AC12364">
      <w:pPr>
        <w:autoSpaceDE w:val="0"/>
        <w:autoSpaceDN w:val="0"/>
        <w:adjustRightInd w:val="0"/>
        <w:spacing w:after="0" w:line="240" w:lineRule="auto"/>
        <w:rPr>
          <w:rFonts w:ascii="Times New Roman" w:hAnsi="Times New Roman" w:cs="Times New Roman"/>
          <w:color w:val="000000" w:themeColor="text1"/>
          <w:sz w:val="22"/>
          <w:szCs w:val="22"/>
        </w:rPr>
      </w:pPr>
    </w:p>
    <w:p w:rsidR="00982F02" w:rsidP="00A03C73" w14:paraId="165C2C5B" w14:textId="47D620FD">
      <w:pPr>
        <w:spacing w:after="0" w:line="240" w:lineRule="auto"/>
        <w:ind w:firstLine="720"/>
        <w:rPr>
          <w:rFonts w:ascii="Times New Roman" w:hAnsi="Times New Roman" w:cs="Times New Roman"/>
          <w:color w:val="000000" w:themeColor="text1"/>
          <w:sz w:val="22"/>
          <w:szCs w:val="22"/>
        </w:rPr>
      </w:pPr>
      <w:r w:rsidRPr="00587CCC">
        <w:rPr>
          <w:rFonts w:ascii="Times New Roman" w:hAnsi="Times New Roman" w:cs="Times New Roman"/>
          <w:color w:val="000000" w:themeColor="text1"/>
          <w:sz w:val="22"/>
          <w:szCs w:val="22"/>
        </w:rPr>
        <w:t>Interested parties may file comments and reply comments on or before the dates indicated on the first page of this document.  Comments may be filed using the Commission’s Electronic Comment Filing System (ECFS).</w:t>
      </w:r>
    </w:p>
    <w:p w:rsidR="000C52CD" w:rsidRPr="00587CCC" w:rsidP="00A03C73" w14:paraId="3688923A" w14:textId="77777777">
      <w:pPr>
        <w:spacing w:after="0" w:line="240" w:lineRule="auto"/>
        <w:ind w:firstLine="720"/>
        <w:rPr>
          <w:rFonts w:ascii="Times New Roman" w:hAnsi="Times New Roman" w:cs="Times New Roman"/>
          <w:color w:val="000000" w:themeColor="text1"/>
          <w:sz w:val="22"/>
          <w:szCs w:val="22"/>
        </w:rPr>
      </w:pPr>
    </w:p>
    <w:p w:rsidR="00982F02" w:rsidRPr="00627719" w:rsidP="00A03C73" w14:paraId="4C59978B" w14:textId="62992AEE">
      <w:pPr>
        <w:spacing w:after="0" w:line="240" w:lineRule="auto"/>
        <w:ind w:firstLine="720"/>
        <w:rPr>
          <w:rFonts w:ascii="Times New Roman" w:hAnsi="Times New Roman" w:cs="Times New Roman"/>
          <w:color w:val="000000" w:themeColor="text1"/>
          <w:sz w:val="22"/>
          <w:szCs w:val="22"/>
        </w:rPr>
      </w:pPr>
      <w:r w:rsidRPr="00627719">
        <w:rPr>
          <w:rFonts w:ascii="Times New Roman" w:hAnsi="Times New Roman" w:cs="Times New Roman"/>
          <w:i/>
          <w:color w:val="000000" w:themeColor="text1"/>
          <w:sz w:val="22"/>
          <w:szCs w:val="22"/>
        </w:rPr>
        <w:t>Electronic Filers</w:t>
      </w:r>
      <w:r w:rsidRPr="00627719">
        <w:rPr>
          <w:rFonts w:ascii="Times New Roman" w:hAnsi="Times New Roman" w:cs="Times New Roman"/>
          <w:color w:val="000000" w:themeColor="text1"/>
          <w:sz w:val="22"/>
          <w:szCs w:val="22"/>
        </w:rPr>
        <w:t xml:space="preserve">:  Comments may be filed electronically using the Internet by accessing the ECFS:  </w:t>
      </w:r>
      <w:hyperlink r:id="rId6" w:history="1">
        <w:r w:rsidRPr="00627719" w:rsidR="005A32BE">
          <w:rPr>
            <w:rStyle w:val="Hyperlink"/>
            <w:rFonts w:ascii="Times New Roman" w:hAnsi="Times New Roman" w:cs="Times New Roman"/>
            <w:sz w:val="22"/>
            <w:szCs w:val="22"/>
          </w:rPr>
          <w:t>https://www.fcc.gov/ecfs</w:t>
        </w:r>
      </w:hyperlink>
      <w:r w:rsidRPr="00627719" w:rsidR="005A32BE">
        <w:rPr>
          <w:rFonts w:ascii="Times New Roman" w:hAnsi="Times New Roman" w:cs="Times New Roman"/>
          <w:sz w:val="22"/>
          <w:szCs w:val="22"/>
        </w:rPr>
        <w:t>.</w:t>
      </w:r>
    </w:p>
    <w:p w:rsidR="00627719" w:rsidP="00A03C73" w14:paraId="61E0B452" w14:textId="77777777">
      <w:pPr>
        <w:spacing w:after="0" w:line="240" w:lineRule="auto"/>
        <w:rPr>
          <w:rFonts w:ascii="Times New Roman" w:hAnsi="Times New Roman" w:cs="Times New Roman"/>
          <w:i/>
          <w:color w:val="000000" w:themeColor="text1"/>
          <w:sz w:val="22"/>
          <w:szCs w:val="22"/>
        </w:rPr>
      </w:pPr>
    </w:p>
    <w:p w:rsidR="00982F02" w:rsidRPr="00627719" w:rsidP="00A03C73" w14:paraId="0650ADC5" w14:textId="104D0F55">
      <w:pPr>
        <w:spacing w:after="0" w:line="240" w:lineRule="auto"/>
        <w:ind w:firstLine="720"/>
        <w:rPr>
          <w:rFonts w:ascii="Times New Roman" w:hAnsi="Times New Roman" w:cs="Times New Roman"/>
          <w:color w:val="000000" w:themeColor="text1"/>
          <w:sz w:val="22"/>
          <w:szCs w:val="22"/>
        </w:rPr>
      </w:pPr>
      <w:r w:rsidRPr="00627719">
        <w:rPr>
          <w:rFonts w:ascii="Times New Roman" w:hAnsi="Times New Roman" w:cs="Times New Roman"/>
          <w:i/>
          <w:color w:val="000000" w:themeColor="text1"/>
          <w:sz w:val="22"/>
          <w:szCs w:val="22"/>
        </w:rPr>
        <w:t>Paper Filers</w:t>
      </w:r>
      <w:r w:rsidRPr="00627719">
        <w:rPr>
          <w:rFonts w:ascii="Times New Roman" w:hAnsi="Times New Roman" w:cs="Times New Roman"/>
          <w:color w:val="000000" w:themeColor="text1"/>
          <w:sz w:val="22"/>
          <w:szCs w:val="22"/>
        </w:rPr>
        <w:t>:  Parties who choose to file by paper must file an original and one copy of each filing.</w:t>
      </w:r>
      <w:r w:rsidR="00627719">
        <w:rPr>
          <w:rFonts w:ascii="Times New Roman" w:hAnsi="Times New Roman" w:cs="Times New Roman"/>
          <w:color w:val="000000" w:themeColor="text1"/>
          <w:sz w:val="22"/>
          <w:szCs w:val="22"/>
        </w:rPr>
        <w:t xml:space="preserve">  </w:t>
      </w:r>
      <w:r w:rsidRPr="00627719">
        <w:rPr>
          <w:rFonts w:ascii="Times New Roman" w:hAnsi="Times New Roman" w:cs="Times New Roman"/>
          <w:color w:val="000000" w:themeColor="text1"/>
          <w:sz w:val="22"/>
          <w:szCs w:val="22"/>
        </w:rPr>
        <w:t xml:space="preserve">Filings can be sent by </w:t>
      </w:r>
      <w:r w:rsidRPr="00627719" w:rsidR="0094117C">
        <w:rPr>
          <w:rFonts w:ascii="Times New Roman" w:hAnsi="Times New Roman" w:cs="Times New Roman"/>
          <w:color w:val="000000" w:themeColor="text1"/>
          <w:sz w:val="22"/>
          <w:szCs w:val="22"/>
        </w:rPr>
        <w:t xml:space="preserve">hand or messenger delivery, by </w:t>
      </w:r>
      <w:r w:rsidRPr="00627719">
        <w:rPr>
          <w:rFonts w:ascii="Times New Roman" w:hAnsi="Times New Roman" w:cs="Times New Roman"/>
          <w:color w:val="000000" w:themeColor="text1"/>
          <w:sz w:val="22"/>
          <w:szCs w:val="22"/>
        </w:rPr>
        <w:t xml:space="preserve">commercial courier, or by </w:t>
      </w:r>
      <w:r w:rsidRPr="00627719" w:rsidR="006A0DFF">
        <w:rPr>
          <w:rFonts w:ascii="Times New Roman" w:hAnsi="Times New Roman" w:cs="Times New Roman"/>
          <w:color w:val="000000" w:themeColor="text1"/>
          <w:sz w:val="22"/>
          <w:szCs w:val="22"/>
        </w:rPr>
        <w:t>the</w:t>
      </w:r>
      <w:r w:rsidRPr="00627719">
        <w:rPr>
          <w:rFonts w:ascii="Times New Roman" w:hAnsi="Times New Roman" w:cs="Times New Roman"/>
          <w:color w:val="000000" w:themeColor="text1"/>
          <w:sz w:val="22"/>
          <w:szCs w:val="22"/>
        </w:rPr>
        <w:t xml:space="preserve"> U.S. Postal Service. </w:t>
      </w:r>
      <w:r w:rsidRPr="00627719" w:rsidR="006A0DFF">
        <w:rPr>
          <w:rFonts w:ascii="Times New Roman" w:hAnsi="Times New Roman" w:cs="Times New Roman"/>
          <w:color w:val="000000" w:themeColor="text1"/>
          <w:sz w:val="22"/>
          <w:szCs w:val="22"/>
        </w:rPr>
        <w:t xml:space="preserve"> </w:t>
      </w:r>
      <w:r w:rsidRPr="00627719">
        <w:rPr>
          <w:rFonts w:ascii="Times New Roman" w:hAnsi="Times New Roman" w:cs="Times New Roman"/>
          <w:b/>
          <w:color w:val="000000" w:themeColor="text1"/>
          <w:sz w:val="22"/>
          <w:szCs w:val="22"/>
        </w:rPr>
        <w:t>All filings must be addressed to the Secretary, Federal Communications Commission.</w:t>
      </w:r>
      <w:r w:rsidR="00627719">
        <w:rPr>
          <w:rFonts w:ascii="Times New Roman" w:hAnsi="Times New Roman" w:cs="Times New Roman"/>
          <w:color w:val="000000" w:themeColor="text1"/>
          <w:sz w:val="22"/>
          <w:szCs w:val="22"/>
        </w:rPr>
        <w:t xml:space="preserve">  </w:t>
      </w:r>
      <w:r w:rsidRPr="00627719" w:rsidR="000706EA">
        <w:rPr>
          <w:rFonts w:ascii="Times New Roman" w:hAnsi="Times New Roman" w:cs="Times New Roman"/>
          <w:color w:val="000000" w:themeColor="text1"/>
          <w:sz w:val="22"/>
          <w:szCs w:val="22"/>
        </w:rPr>
        <w:t>Hand-delivered or messenger-delivered paper filings for the Commission’s Secretary are accepted between 8:00 a.m. and 4:00 p.m. by the FCC’s mailing contractor</w:t>
      </w:r>
      <w:r w:rsidRPr="00627719" w:rsidR="008230AF">
        <w:rPr>
          <w:rFonts w:ascii="Times New Roman" w:hAnsi="Times New Roman" w:cs="Times New Roman"/>
          <w:color w:val="000000" w:themeColor="text1"/>
          <w:sz w:val="22"/>
          <w:szCs w:val="22"/>
        </w:rPr>
        <w:t xml:space="preserve"> at</w:t>
      </w:r>
      <w:r w:rsidRPr="00627719">
        <w:rPr>
          <w:rFonts w:ascii="Times New Roman" w:hAnsi="Times New Roman" w:cs="Times New Roman"/>
          <w:color w:val="000000" w:themeColor="text1"/>
          <w:sz w:val="22"/>
          <w:szCs w:val="22"/>
        </w:rPr>
        <w:t xml:space="preserve"> 9050 Junction Drive, Annapolis Junction, MD 20701.</w:t>
      </w:r>
      <w:r w:rsidRPr="00627719" w:rsidR="008230AF">
        <w:rPr>
          <w:rFonts w:ascii="Times New Roman" w:hAnsi="Times New Roman" w:cs="Times New Roman"/>
          <w:color w:val="000000" w:themeColor="text1"/>
          <w:sz w:val="22"/>
          <w:szCs w:val="22"/>
        </w:rPr>
        <w:t xml:space="preserve">  All hand deliveries must be held together with rubber bands or fasteners.  Any envelopes and boxes must be disposed of before entering the building.</w:t>
      </w:r>
      <w:r w:rsidR="00627719">
        <w:rPr>
          <w:rFonts w:ascii="Times New Roman" w:hAnsi="Times New Roman" w:cs="Times New Roman"/>
          <w:color w:val="000000" w:themeColor="text1"/>
          <w:sz w:val="22"/>
          <w:szCs w:val="22"/>
        </w:rPr>
        <w:t xml:space="preserve">  </w:t>
      </w:r>
      <w:r w:rsidRPr="00627719" w:rsidR="005764E1">
        <w:rPr>
          <w:rFonts w:ascii="Times New Roman" w:hAnsi="Times New Roman" w:cs="Times New Roman"/>
          <w:color w:val="000000" w:themeColor="text1"/>
          <w:sz w:val="22"/>
          <w:szCs w:val="22"/>
        </w:rPr>
        <w:t>Commercial courier deliveries (any deliveries not by the U.S. Postal Service) must be sent to 9050 Junction Drive, Annapolis Junction, MD 20701.</w:t>
      </w:r>
      <w:r w:rsidR="00627719">
        <w:rPr>
          <w:rFonts w:ascii="Times New Roman" w:hAnsi="Times New Roman" w:cs="Times New Roman"/>
          <w:color w:val="000000" w:themeColor="text1"/>
          <w:sz w:val="22"/>
          <w:szCs w:val="22"/>
        </w:rPr>
        <w:t xml:space="preserve">  </w:t>
      </w:r>
      <w:r w:rsidRPr="00627719" w:rsidR="007F3F99">
        <w:rPr>
          <w:rFonts w:ascii="Times New Roman" w:hAnsi="Times New Roman" w:cs="Times New Roman"/>
          <w:color w:val="000000" w:themeColor="text1"/>
          <w:sz w:val="22"/>
          <w:szCs w:val="22"/>
        </w:rPr>
        <w:t xml:space="preserve">Filings sent by </w:t>
      </w:r>
      <w:r w:rsidRPr="00627719">
        <w:rPr>
          <w:rFonts w:ascii="Times New Roman" w:hAnsi="Times New Roman" w:cs="Times New Roman"/>
          <w:color w:val="000000" w:themeColor="text1"/>
          <w:sz w:val="22"/>
          <w:szCs w:val="22"/>
        </w:rPr>
        <w:t xml:space="preserve">U.S. Postal Service </w:t>
      </w:r>
      <w:r w:rsidRPr="00627719" w:rsidR="007F3F99">
        <w:rPr>
          <w:rFonts w:ascii="Times New Roman" w:hAnsi="Times New Roman" w:cs="Times New Roman"/>
          <w:color w:val="000000" w:themeColor="text1"/>
          <w:sz w:val="22"/>
          <w:szCs w:val="22"/>
        </w:rPr>
        <w:t>First</w:t>
      </w:r>
      <w:r w:rsidRPr="00627719">
        <w:rPr>
          <w:rFonts w:ascii="Times New Roman" w:hAnsi="Times New Roman" w:cs="Times New Roman"/>
          <w:color w:val="000000" w:themeColor="text1"/>
          <w:sz w:val="22"/>
          <w:szCs w:val="22"/>
        </w:rPr>
        <w:t>-</w:t>
      </w:r>
      <w:r w:rsidRPr="00627719" w:rsidR="007F3F99">
        <w:rPr>
          <w:rFonts w:ascii="Times New Roman" w:hAnsi="Times New Roman" w:cs="Times New Roman"/>
          <w:color w:val="000000" w:themeColor="text1"/>
          <w:sz w:val="22"/>
          <w:szCs w:val="22"/>
        </w:rPr>
        <w:t>Class Mail</w:t>
      </w:r>
      <w:r w:rsidRPr="00627719">
        <w:rPr>
          <w:rFonts w:ascii="Times New Roman" w:hAnsi="Times New Roman" w:cs="Times New Roman"/>
          <w:color w:val="000000" w:themeColor="text1"/>
          <w:sz w:val="22"/>
          <w:szCs w:val="22"/>
        </w:rPr>
        <w:t xml:space="preserve">, </w:t>
      </w:r>
      <w:r w:rsidRPr="00627719" w:rsidR="002C6D8D">
        <w:rPr>
          <w:rFonts w:ascii="Times New Roman" w:hAnsi="Times New Roman" w:cs="Times New Roman"/>
          <w:color w:val="000000" w:themeColor="text1"/>
          <w:sz w:val="22"/>
          <w:szCs w:val="22"/>
        </w:rPr>
        <w:t>Priority Mail</w:t>
      </w:r>
      <w:r w:rsidRPr="00627719">
        <w:rPr>
          <w:rFonts w:ascii="Times New Roman" w:hAnsi="Times New Roman" w:cs="Times New Roman"/>
          <w:color w:val="000000" w:themeColor="text1"/>
          <w:sz w:val="22"/>
          <w:szCs w:val="22"/>
        </w:rPr>
        <w:t xml:space="preserve">, and Priority </w:t>
      </w:r>
      <w:r w:rsidRPr="00627719" w:rsidR="002C6D8D">
        <w:rPr>
          <w:rFonts w:ascii="Times New Roman" w:hAnsi="Times New Roman" w:cs="Times New Roman"/>
          <w:color w:val="000000" w:themeColor="text1"/>
          <w:sz w:val="22"/>
          <w:szCs w:val="22"/>
        </w:rPr>
        <w:t xml:space="preserve">Mail Express </w:t>
      </w:r>
      <w:r w:rsidRPr="00627719">
        <w:rPr>
          <w:rFonts w:ascii="Times New Roman" w:hAnsi="Times New Roman" w:cs="Times New Roman"/>
          <w:color w:val="000000" w:themeColor="text1"/>
          <w:sz w:val="22"/>
          <w:szCs w:val="22"/>
        </w:rPr>
        <w:t xml:space="preserve">must be </w:t>
      </w:r>
      <w:r w:rsidRPr="00627719" w:rsidR="002C6D8D">
        <w:rPr>
          <w:rFonts w:ascii="Times New Roman" w:hAnsi="Times New Roman" w:cs="Times New Roman"/>
          <w:color w:val="000000" w:themeColor="text1"/>
          <w:sz w:val="22"/>
          <w:szCs w:val="22"/>
        </w:rPr>
        <w:t>sent</w:t>
      </w:r>
      <w:r w:rsidRPr="00627719">
        <w:rPr>
          <w:rFonts w:ascii="Times New Roman" w:hAnsi="Times New Roman" w:cs="Times New Roman"/>
          <w:color w:val="000000" w:themeColor="text1"/>
          <w:sz w:val="22"/>
          <w:szCs w:val="22"/>
        </w:rPr>
        <w:t xml:space="preserve"> to 45 L Street NE, Washington, DC 20554.</w:t>
      </w:r>
    </w:p>
    <w:p w:rsidR="0094117C" w:rsidRPr="00587CCC" w:rsidP="00A03C73" w14:paraId="162ED603" w14:textId="4712371C">
      <w:pPr>
        <w:pStyle w:val="ParaNum"/>
        <w:numPr>
          <w:ilvl w:val="0"/>
          <w:numId w:val="0"/>
        </w:numPr>
        <w:spacing w:after="0" w:line="240" w:lineRule="auto"/>
        <w:ind w:left="360"/>
        <w:rPr>
          <w:rFonts w:ascii="Times New Roman" w:hAnsi="Times New Roman" w:cs="Times New Roman"/>
          <w:color w:val="000000" w:themeColor="text1"/>
          <w:sz w:val="22"/>
          <w:szCs w:val="22"/>
        </w:rPr>
      </w:pPr>
      <w:r w:rsidRPr="00587CCC">
        <w:rPr>
          <w:rFonts w:ascii="Times New Roman" w:hAnsi="Times New Roman" w:cs="Times New Roman"/>
          <w:color w:val="000000" w:themeColor="text1"/>
          <w:sz w:val="22"/>
          <w:szCs w:val="22"/>
        </w:rPr>
        <w:t xml:space="preserve">  </w:t>
      </w:r>
    </w:p>
    <w:p w:rsidR="00982F02" w:rsidRPr="00627719" w:rsidP="00A03C73" w14:paraId="6F42ECC7" w14:textId="20D911A7">
      <w:pPr>
        <w:spacing w:after="0" w:line="240" w:lineRule="auto"/>
        <w:ind w:firstLine="720"/>
        <w:rPr>
          <w:rFonts w:ascii="Times New Roman" w:hAnsi="Times New Roman" w:cs="Times New Roman"/>
          <w:sz w:val="22"/>
          <w:szCs w:val="22"/>
        </w:rPr>
      </w:pPr>
      <w:r w:rsidRPr="00627719">
        <w:rPr>
          <w:rFonts w:ascii="Times New Roman" w:hAnsi="Times New Roman" w:cs="Times New Roman"/>
          <w:i/>
          <w:color w:val="000000" w:themeColor="text1"/>
          <w:sz w:val="22"/>
          <w:szCs w:val="22"/>
        </w:rPr>
        <w:t>People with Disabilities:</w:t>
      </w:r>
      <w:r w:rsidRPr="00627719">
        <w:rPr>
          <w:rFonts w:ascii="Times New Roman" w:hAnsi="Times New Roman" w:cs="Times New Roman"/>
          <w:color w:val="000000" w:themeColor="text1"/>
          <w:sz w:val="22"/>
          <w:szCs w:val="22"/>
        </w:rPr>
        <w:t xml:space="preserve">  To request materials in accessible formats for people with disabilities (braille, large print, electronic files, audio format), send an e-mail to </w:t>
      </w:r>
      <w:hyperlink r:id="rId7">
        <w:r w:rsidRPr="00627719">
          <w:rPr>
            <w:rFonts w:ascii="Times New Roman" w:hAnsi="Times New Roman" w:cs="Times New Roman"/>
            <w:color w:val="000000" w:themeColor="text1"/>
            <w:sz w:val="22"/>
            <w:szCs w:val="22"/>
            <w:u w:val="single"/>
          </w:rPr>
          <w:t>fcc504@fcc.gov</w:t>
        </w:r>
      </w:hyperlink>
      <w:r w:rsidRPr="00627719">
        <w:rPr>
          <w:rFonts w:ascii="Times New Roman" w:hAnsi="Times New Roman" w:cs="Times New Roman"/>
          <w:color w:val="000000" w:themeColor="text1"/>
          <w:sz w:val="22"/>
          <w:szCs w:val="22"/>
        </w:rPr>
        <w:t xml:space="preserve"> or call the Consumer &amp; Governmental Affairs Bureau at 202-418-0530.</w:t>
      </w:r>
    </w:p>
    <w:p w:rsidR="000C52CD" w:rsidRPr="000C52CD" w:rsidP="00A03C73" w14:paraId="6C1D957A" w14:textId="77777777">
      <w:pPr>
        <w:spacing w:after="0" w:line="240" w:lineRule="auto"/>
        <w:rPr>
          <w:rFonts w:ascii="Times New Roman" w:hAnsi="Times New Roman" w:cs="Times New Roman"/>
          <w:sz w:val="22"/>
          <w:szCs w:val="22"/>
        </w:rPr>
      </w:pPr>
    </w:p>
    <w:p w:rsidR="0020423E" w:rsidP="00A03C73" w14:paraId="6C72E4CB" w14:textId="714A0235">
      <w:pPr>
        <w:pStyle w:val="ParaNum"/>
        <w:numPr>
          <w:ilvl w:val="0"/>
          <w:numId w:val="0"/>
        </w:numPr>
        <w:spacing w:after="0" w:line="240" w:lineRule="auto"/>
        <w:ind w:firstLine="720"/>
        <w:rPr>
          <w:rFonts w:ascii="Times New Roman" w:hAnsi="Times New Roman" w:cs="Times New Roman"/>
          <w:color w:val="000000" w:themeColor="text1"/>
          <w:sz w:val="22"/>
          <w:szCs w:val="22"/>
        </w:rPr>
      </w:pP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Rules.</w:t>
      </w:r>
      <w:r w:rsidRPr="00587CCC">
        <w:rPr>
          <w:rFonts w:ascii="Times New Roman" w:hAnsi="Times New Roman" w:cs="Times New Roman"/>
          <w:color w:val="000000" w:themeColor="text1"/>
          <w:sz w:val="22"/>
          <w:szCs w:val="22"/>
        </w:rPr>
        <w:t xml:space="preserve">  The proceeding this Notice initiates shall be treated as a “permit-but-disclose” proceeding in accordance with the Commission’s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rules.</w:t>
      </w:r>
      <w:r>
        <w:rPr>
          <w:rFonts w:ascii="Times New Roman" w:hAnsi="Times New Roman" w:cs="Times New Roman"/>
          <w:color w:val="000000" w:themeColor="text1"/>
          <w:sz w:val="22"/>
          <w:szCs w:val="22"/>
          <w:vertAlign w:val="superscript"/>
        </w:rPr>
        <w:footnoteReference w:id="41"/>
      </w:r>
      <w:r w:rsidRPr="00587CCC">
        <w:rPr>
          <w:rFonts w:ascii="Times New Roman" w:hAnsi="Times New Roman" w:cs="Times New Roman"/>
          <w:color w:val="000000" w:themeColor="text1"/>
          <w:sz w:val="22"/>
          <w:szCs w:val="22"/>
        </w:rPr>
        <w:t xml:space="preserve">  Persons making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presentations must file a copy of any written presentation or a memorandum summarizing any oral presentation within two business days after the presentation (unless a different deadline applicable to the Sunshine period applies).  Persons making oral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presentations are reminded that memoranda summarizing the presentation must (1) list all persons attending or otherwise participating in the meeting at which the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presentation was made, and (2) summarize all data presented and arguments made during the presentation.  If the presentation consisted in whole or in part of the presentation of data or arguments already reflected in the presenter’s written comments, memoranda or other filings in the proceeding, the presenter may provide citations to such data or arguments in his or her prior comments, memoranda, or other filings (specifying the relevant page and/or paragraph numbers where such data or arguments can be found) in lieu of summarizing them in the memorandum.  Documents shown or given to Commission staff during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meetings are deemed to be written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color w:val="000000" w:themeColor="text1"/>
          <w:sz w:val="22"/>
          <w:szCs w:val="22"/>
        </w:rPr>
        <w:t xml:space="preserve"> presentations and must be filed consistent with rule 1.1206(b).  In proceedings governed by rule 1.49(f) or for which the Commission has made available a method of electronic filing, written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presentations and memoranda summarizing oral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presentations, and all attachments thereto, must be filed through the electronic comment filing system available for that proceeding, and must be filed in their native format (e.g., .doc</w:t>
      </w:r>
      <w:r w:rsidRPr="00587CCC" w:rsidR="006E2F65">
        <w:rPr>
          <w:rFonts w:ascii="Times New Roman" w:hAnsi="Times New Roman" w:cs="Times New Roman"/>
          <w:color w:val="000000" w:themeColor="text1"/>
          <w:sz w:val="22"/>
          <w:szCs w:val="22"/>
        </w:rPr>
        <w:t>x</w:t>
      </w:r>
      <w:r w:rsidRPr="00587CCC">
        <w:rPr>
          <w:rFonts w:ascii="Times New Roman" w:hAnsi="Times New Roman" w:cs="Times New Roman"/>
          <w:color w:val="000000" w:themeColor="text1"/>
          <w:sz w:val="22"/>
          <w:szCs w:val="22"/>
        </w:rPr>
        <w:t>, .xml, .ppt</w:t>
      </w:r>
      <w:r w:rsidRPr="00587CCC" w:rsidR="006E2F65">
        <w:rPr>
          <w:rFonts w:ascii="Times New Roman" w:hAnsi="Times New Roman" w:cs="Times New Roman"/>
          <w:color w:val="000000" w:themeColor="text1"/>
          <w:sz w:val="22"/>
          <w:szCs w:val="22"/>
        </w:rPr>
        <w:t>x</w:t>
      </w:r>
      <w:r w:rsidRPr="00587CCC">
        <w:rPr>
          <w:rFonts w:ascii="Times New Roman" w:hAnsi="Times New Roman" w:cs="Times New Roman"/>
          <w:color w:val="000000" w:themeColor="text1"/>
          <w:sz w:val="22"/>
          <w:szCs w:val="22"/>
        </w:rPr>
        <w:t xml:space="preserve">, searchable .pdf).  Participants in this proceeding should familiarize themselves with the Commission’s </w:t>
      </w:r>
      <w:r w:rsidRPr="00587CCC">
        <w:rPr>
          <w:rFonts w:ascii="Times New Roman" w:hAnsi="Times New Roman" w:cs="Times New Roman"/>
          <w:i/>
          <w:color w:val="000000" w:themeColor="text1"/>
          <w:sz w:val="22"/>
          <w:szCs w:val="22"/>
        </w:rPr>
        <w:t xml:space="preserve">ex </w:t>
      </w:r>
      <w:r w:rsidRPr="00587CCC">
        <w:rPr>
          <w:rFonts w:ascii="Times New Roman" w:hAnsi="Times New Roman" w:cs="Times New Roman"/>
          <w:i/>
          <w:color w:val="000000" w:themeColor="text1"/>
          <w:sz w:val="22"/>
          <w:szCs w:val="22"/>
        </w:rPr>
        <w:t>parte</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rules.</w:t>
      </w:r>
    </w:p>
    <w:p w:rsidR="000C52CD" w:rsidRPr="00587CCC" w:rsidP="00A03C73" w14:paraId="2CC4F984" w14:textId="77777777">
      <w:pPr>
        <w:pStyle w:val="ParaNum"/>
        <w:numPr>
          <w:ilvl w:val="0"/>
          <w:numId w:val="0"/>
        </w:numPr>
        <w:spacing w:after="0" w:line="240" w:lineRule="auto"/>
        <w:ind w:firstLine="720"/>
        <w:rPr>
          <w:rFonts w:ascii="Times New Roman" w:hAnsi="Times New Roman" w:cs="Times New Roman"/>
          <w:color w:val="000000" w:themeColor="text1"/>
          <w:sz w:val="22"/>
          <w:szCs w:val="22"/>
        </w:rPr>
      </w:pPr>
    </w:p>
    <w:p w:rsidR="005A7CED" w:rsidRPr="00587CCC" w:rsidP="00A03C73" w14:paraId="3DC72DC0" w14:textId="3F34FB6C">
      <w:pPr>
        <w:pStyle w:val="ParaNum"/>
        <w:numPr>
          <w:ilvl w:val="0"/>
          <w:numId w:val="0"/>
        </w:numPr>
        <w:spacing w:after="0" w:line="240" w:lineRule="auto"/>
        <w:ind w:firstLine="720"/>
        <w:rPr>
          <w:rFonts w:ascii="Times New Roman" w:hAnsi="Times New Roman" w:cs="Times New Roman"/>
          <w:color w:val="000000" w:themeColor="text1"/>
          <w:sz w:val="22"/>
          <w:szCs w:val="22"/>
        </w:rPr>
      </w:pPr>
      <w:r w:rsidRPr="00587CCC">
        <w:rPr>
          <w:rFonts w:ascii="Times New Roman" w:hAnsi="Times New Roman" w:cs="Times New Roman"/>
          <w:i/>
          <w:color w:val="000000" w:themeColor="text1"/>
          <w:sz w:val="22"/>
          <w:szCs w:val="22"/>
        </w:rPr>
        <w:t>Further Information</w:t>
      </w:r>
      <w:r w:rsidRPr="00587CCC">
        <w:rPr>
          <w:rFonts w:ascii="Times New Roman" w:hAnsi="Times New Roman" w:cs="Times New Roman"/>
          <w:color w:val="000000" w:themeColor="text1"/>
          <w:sz w:val="22"/>
          <w:szCs w:val="22"/>
        </w:rPr>
        <w:t xml:space="preserve">. </w:t>
      </w:r>
      <w:r w:rsidRPr="00587CCC">
        <w:rPr>
          <w:rFonts w:ascii="Times New Roman" w:hAnsi="Times New Roman" w:cs="Times New Roman"/>
          <w:i/>
          <w:color w:val="000000" w:themeColor="text1"/>
          <w:sz w:val="22"/>
          <w:szCs w:val="22"/>
        </w:rPr>
        <w:t xml:space="preserve"> </w:t>
      </w:r>
      <w:r w:rsidRPr="00587CCC">
        <w:rPr>
          <w:rFonts w:ascii="Times New Roman" w:hAnsi="Times New Roman" w:cs="Times New Roman"/>
          <w:color w:val="000000" w:themeColor="text1"/>
          <w:sz w:val="22"/>
          <w:szCs w:val="22"/>
        </w:rPr>
        <w:t xml:space="preserve">Questions regarding this </w:t>
      </w:r>
      <w:r w:rsidRPr="00587CCC">
        <w:rPr>
          <w:rFonts w:ascii="Times New Roman" w:hAnsi="Times New Roman" w:cs="Times New Roman"/>
          <w:i/>
          <w:color w:val="000000" w:themeColor="text1"/>
          <w:sz w:val="22"/>
          <w:szCs w:val="22"/>
        </w:rPr>
        <w:t>Public Notice</w:t>
      </w:r>
      <w:r w:rsidRPr="00587CCC">
        <w:rPr>
          <w:rFonts w:ascii="Times New Roman" w:hAnsi="Times New Roman" w:cs="Times New Roman"/>
          <w:color w:val="000000" w:themeColor="text1"/>
          <w:sz w:val="22"/>
          <w:szCs w:val="22"/>
        </w:rPr>
        <w:t xml:space="preserve"> may be directed to </w:t>
      </w:r>
      <w:r w:rsidRPr="00587CCC" w:rsidR="00930E12">
        <w:rPr>
          <w:rFonts w:ascii="Times New Roman" w:hAnsi="Times New Roman" w:cs="Times New Roman"/>
          <w:color w:val="000000" w:themeColor="text1"/>
          <w:sz w:val="22"/>
          <w:szCs w:val="22"/>
        </w:rPr>
        <w:t>the FCC</w:t>
      </w:r>
      <w:r w:rsidR="00E85DCE">
        <w:rPr>
          <w:rFonts w:ascii="Times New Roman" w:hAnsi="Times New Roman" w:cs="Times New Roman"/>
          <w:color w:val="000000" w:themeColor="text1"/>
          <w:sz w:val="22"/>
          <w:szCs w:val="22"/>
        </w:rPr>
        <w:t>’</w:t>
      </w:r>
      <w:r w:rsidRPr="00587CCC" w:rsidR="00930E12">
        <w:rPr>
          <w:rFonts w:ascii="Times New Roman" w:hAnsi="Times New Roman" w:cs="Times New Roman"/>
          <w:color w:val="000000" w:themeColor="text1"/>
          <w:sz w:val="22"/>
          <w:szCs w:val="22"/>
        </w:rPr>
        <w:t>s RF Safety Program at </w:t>
      </w:r>
      <w:hyperlink r:id="rId8" w:history="1">
        <w:r w:rsidRPr="00587CCC" w:rsidR="00930E12">
          <w:rPr>
            <w:rStyle w:val="Hyperlink"/>
            <w:rFonts w:ascii="Times New Roman" w:hAnsi="Times New Roman" w:cs="Times New Roman"/>
            <w:sz w:val="22"/>
            <w:szCs w:val="22"/>
          </w:rPr>
          <w:t>rfsafety@fcc.gov</w:t>
        </w:r>
      </w:hyperlink>
      <w:r w:rsidRPr="00587CCC" w:rsidR="0023544F">
        <w:rPr>
          <w:rFonts w:ascii="Times New Roman" w:hAnsi="Times New Roman" w:cs="Times New Roman"/>
          <w:color w:val="000000" w:themeColor="text1"/>
          <w:sz w:val="22"/>
          <w:szCs w:val="22"/>
        </w:rPr>
        <w:t>.</w:t>
      </w:r>
      <w:r w:rsidRPr="00587CCC" w:rsidR="003D706C">
        <w:rPr>
          <w:rFonts w:ascii="Times New Roman" w:hAnsi="Times New Roman" w:cs="Times New Roman"/>
          <w:color w:val="000000" w:themeColor="text1"/>
          <w:sz w:val="22"/>
          <w:szCs w:val="22"/>
        </w:rPr>
        <w:t xml:space="preserve"> </w:t>
      </w:r>
      <w:r w:rsidRPr="00587CCC" w:rsidR="00500FEF">
        <w:rPr>
          <w:rFonts w:ascii="Times New Roman" w:hAnsi="Times New Roman" w:cs="Times New Roman"/>
          <w:color w:val="000000" w:themeColor="text1"/>
          <w:sz w:val="22"/>
          <w:szCs w:val="22"/>
        </w:rPr>
        <w:t xml:space="preserve"> Comments and reply comments to this Public Notice must be filed in ET Docket 13-84 using the procedures described above and should not be sent to this mailbox.</w:t>
      </w:r>
      <w:r w:rsidRPr="00587CCC">
        <w:rPr>
          <w:rFonts w:ascii="Times New Roman" w:hAnsi="Times New Roman" w:cs="Times New Roman"/>
          <w:sz w:val="22"/>
          <w:szCs w:val="22"/>
        </w:rPr>
        <w:br/>
      </w:r>
    </w:p>
    <w:bookmarkEnd w:id="0"/>
    <w:bookmarkEnd w:id="1"/>
    <w:p w:rsidR="006F50A6" w:rsidRPr="00587CCC" w:rsidP="00587CCC" w14:paraId="6A70847F" w14:textId="77777777">
      <w:pPr>
        <w:spacing w:after="0" w:line="240" w:lineRule="auto"/>
        <w:jc w:val="center"/>
        <w:rPr>
          <w:rFonts w:ascii="Times New Roman" w:hAnsi="Times New Roman" w:cs="Times New Roman"/>
          <w:b/>
          <w:color w:val="000000" w:themeColor="text1"/>
          <w:sz w:val="22"/>
          <w:szCs w:val="22"/>
        </w:rPr>
      </w:pPr>
    </w:p>
    <w:sectPr>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720" w:left="1440" w:header="63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673B7" w14:paraId="2299E476" w14:textId="77777777">
      <w:r>
        <w:separator/>
      </w:r>
    </w:p>
  </w:endnote>
  <w:endnote w:type="continuationSeparator" w:id="1">
    <w:p w:rsidR="000673B7" w14:paraId="60442CAF" w14:textId="77777777">
      <w:r>
        <w:continuationSeparator/>
      </w:r>
    </w:p>
  </w:endnote>
  <w:endnote w:type="continuationNotice" w:id="2">
    <w:p w:rsidR="000673B7" w14:paraId="06F47B3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IDFont+F1">
    <w:altName w:val="Yu Gothic"/>
    <w:panose1 w:val="00000000000000000000"/>
    <w:charset w:val="80"/>
    <w:family w:val="auto"/>
    <w:notTrueType/>
    <w:pitch w:val="default"/>
    <w:sig w:usb0="00000003" w:usb1="08070000" w:usb2="00000010" w:usb3="00000000" w:csb0="00020001" w:csb1="00000000"/>
  </w:font>
  <w:font w:name="CIDFont+F3">
    <w:altName w:val="Yu Gothic"/>
    <w:panose1 w:val="00000000000000000000"/>
    <w:charset w:val="80"/>
    <w:family w:val="auto"/>
    <w:notTrueType/>
    <w:pitch w:val="default"/>
    <w:sig w:usb0="00000003" w:usb1="08070000" w:usb2="00000010" w:usb3="00000000" w:csb0="0002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5F3A" w14:paraId="02CDE7B1" w14:textId="77777777">
    <w:pPr>
      <w:pStyle w:val="Footer"/>
      <w:framePr w:wrap="around" w:vAnchor="text" w:hAnchor="margin" w:xAlign="center" w:y="1"/>
    </w:pPr>
    <w:r>
      <w:fldChar w:fldCharType="begin"/>
    </w:r>
    <w:r>
      <w:instrText xml:space="preserve">PAGE  </w:instrText>
    </w:r>
    <w:r>
      <w:fldChar w:fldCharType="separate"/>
    </w:r>
    <w:r>
      <w:fldChar w:fldCharType="end"/>
    </w:r>
  </w:p>
  <w:p w:rsidR="00C25F3A" w14:paraId="303E33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5F3A" w:rsidRPr="009E6D22" w14:paraId="5D1566ED" w14:textId="77777777">
    <w:pPr>
      <w:pStyle w:val="Footer"/>
      <w:jc w:val="center"/>
      <w:rPr>
        <w:rFonts w:ascii="Times New Roman" w:hAnsi="Times New Roman" w:cs="Times New Roman"/>
      </w:rPr>
    </w:pPr>
    <w:r w:rsidRPr="002B68E4">
      <w:rPr>
        <w:rFonts w:ascii="Times New Roman" w:hAnsi="Times New Roman" w:cs="Times New Roman"/>
      </w:rPr>
      <w:fldChar w:fldCharType="begin"/>
    </w:r>
    <w:r w:rsidRPr="002B68E4">
      <w:rPr>
        <w:rFonts w:ascii="Times New Roman" w:hAnsi="Times New Roman" w:cs="Times New Roman"/>
      </w:rPr>
      <w:instrText xml:space="preserve"> PAGE   \* MERGEFORMAT </w:instrText>
    </w:r>
    <w:r w:rsidRPr="002B68E4">
      <w:rPr>
        <w:rFonts w:ascii="Times New Roman" w:hAnsi="Times New Roman" w:cs="Times New Roman"/>
      </w:rPr>
      <w:fldChar w:fldCharType="separate"/>
    </w:r>
    <w:r w:rsidRPr="002B68E4">
      <w:rPr>
        <w:rFonts w:ascii="Times New Roman" w:hAnsi="Times New Roman" w:cs="Times New Roman"/>
      </w:rPr>
      <w:t>2</w:t>
    </w:r>
    <w:r w:rsidRPr="002B68E4">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5F3A" w14:paraId="1B7FF551" w14:textId="77777777">
    <w:pPr>
      <w:pStyle w:val="Footer"/>
      <w:tabs>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73B7" w14:paraId="10C09AA1" w14:textId="77777777">
      <w:r>
        <w:separator/>
      </w:r>
    </w:p>
  </w:footnote>
  <w:footnote w:type="continuationSeparator" w:id="1">
    <w:p w:rsidR="000673B7" w14:paraId="2CD83187" w14:textId="77777777">
      <w:pPr>
        <w:rPr>
          <w:sz w:val="20"/>
        </w:rPr>
      </w:pPr>
      <w:r>
        <w:rPr>
          <w:sz w:val="20"/>
        </w:rPr>
        <w:t xml:space="preserve">(Continued from previous page)  </w:t>
      </w:r>
      <w:r>
        <w:rPr>
          <w:sz w:val="20"/>
        </w:rPr>
        <w:separator/>
      </w:r>
    </w:p>
  </w:footnote>
  <w:footnote w:type="continuationNotice" w:id="2">
    <w:p w:rsidR="000673B7" w14:paraId="3BA41FFD" w14:textId="77777777">
      <w:pPr>
        <w:jc w:val="right"/>
        <w:rPr>
          <w:sz w:val="20"/>
        </w:rPr>
      </w:pPr>
      <w:r>
        <w:rPr>
          <w:sz w:val="20"/>
        </w:rPr>
        <w:t>(continued….)</w:t>
      </w:r>
    </w:p>
  </w:footnote>
  <w:footnote w:id="3">
    <w:p w:rsidR="008803FE" w14:paraId="46AF7065" w14:textId="61A3B1DB">
      <w:pPr>
        <w:pStyle w:val="FootnoteText"/>
      </w:pPr>
      <w:r>
        <w:rPr>
          <w:rStyle w:val="FootnoteReference"/>
        </w:rPr>
        <w:footnoteRef/>
      </w:r>
      <w:r>
        <w:t xml:space="preserve"> </w:t>
      </w:r>
      <w:r w:rsidR="00656B91">
        <w:t xml:space="preserve">Pub. L. No. 119-21, </w:t>
      </w:r>
      <w:r w:rsidR="001B1C68">
        <w:t>§</w:t>
      </w:r>
      <w:r w:rsidR="00C53191">
        <w:t xml:space="preserve"> </w:t>
      </w:r>
      <w:r w:rsidR="00B04168">
        <w:t>40</w:t>
      </w:r>
      <w:r w:rsidR="0015276F">
        <w:t>002</w:t>
      </w:r>
      <w:r w:rsidR="004A000D">
        <w:t>(c)(1)</w:t>
      </w:r>
      <w:r w:rsidR="00354512">
        <w:t xml:space="preserve">, 139 Stat. </w:t>
      </w:r>
      <w:r w:rsidR="004A000D">
        <w:t>129</w:t>
      </w:r>
      <w:r w:rsidR="0015276F">
        <w:t xml:space="preserve"> </w:t>
      </w:r>
      <w:r w:rsidR="000C78D0">
        <w:t>(</w:t>
      </w:r>
      <w:r w:rsidR="003D503C">
        <w:t>2025).</w:t>
      </w:r>
      <w:r w:rsidR="00C53191">
        <w:t xml:space="preserve"> </w:t>
      </w:r>
    </w:p>
  </w:footnote>
  <w:footnote w:id="4">
    <w:p w:rsidR="00C644C3" w14:paraId="7D7D6B63" w14:textId="1EC7FF52">
      <w:pPr>
        <w:pStyle w:val="FootnoteText"/>
      </w:pPr>
      <w:r>
        <w:rPr>
          <w:rStyle w:val="FootnoteReference"/>
        </w:rPr>
        <w:footnoteRef/>
      </w:r>
      <w:r>
        <w:t xml:space="preserve"> </w:t>
      </w:r>
      <w:r w:rsidRPr="00D963A7" w:rsidR="008A208F">
        <w:rPr>
          <w:i/>
          <w:iCs/>
        </w:rPr>
        <w:t>Mobile Relay Associates v. FCC</w:t>
      </w:r>
      <w:r w:rsidRPr="008A208F" w:rsidR="008A208F">
        <w:t>, 457 F.3d 1, 8 (D.C. Cir. 2006) (</w:t>
      </w:r>
      <w:r w:rsidR="00D963A7">
        <w:t>cleaned up)</w:t>
      </w:r>
      <w:r w:rsidR="00FC4659">
        <w:t xml:space="preserve">; </w:t>
      </w:r>
      <w:r w:rsidRPr="00491899" w:rsidR="00FC4659">
        <w:rPr>
          <w:i/>
        </w:rPr>
        <w:t>see also</w:t>
      </w:r>
      <w:r w:rsidRPr="00491899" w:rsidR="00FC4659">
        <w:t xml:space="preserve"> </w:t>
      </w:r>
      <w:r w:rsidRPr="00491899" w:rsidR="00EA7EB9">
        <w:rPr>
          <w:i/>
        </w:rPr>
        <w:t>AT&amp;T Servs.</w:t>
      </w:r>
      <w:r w:rsidRPr="00491899" w:rsidR="00DE4B4E">
        <w:rPr>
          <w:i/>
        </w:rPr>
        <w:t xml:space="preserve"> v. FCC</w:t>
      </w:r>
      <w:r w:rsidRPr="00491899" w:rsidR="00DE4B4E">
        <w:t xml:space="preserve">, </w:t>
      </w:r>
      <w:r w:rsidRPr="00491899" w:rsidR="00D20781">
        <w:t>21 F.4th</w:t>
      </w:r>
      <w:r w:rsidRPr="00491899" w:rsidR="00DE4B4E">
        <w:t xml:space="preserve"> </w:t>
      </w:r>
      <w:r w:rsidRPr="00491899" w:rsidR="00342BE5">
        <w:t>841 (D.C. Cir. 2021) (</w:t>
      </w:r>
      <w:r w:rsidRPr="00491899" w:rsidR="00C906A7">
        <w:t>upholding</w:t>
      </w:r>
      <w:r w:rsidRPr="00491899" w:rsidR="000E251F">
        <w:t xml:space="preserve"> the </w:t>
      </w:r>
      <w:r w:rsidRPr="00491899" w:rsidR="00C906A7">
        <w:t>FCC’s</w:t>
      </w:r>
      <w:r w:rsidRPr="00491899" w:rsidR="003F4435">
        <w:t xml:space="preserve"> </w:t>
      </w:r>
      <w:r w:rsidRPr="00491899" w:rsidR="00EA3C26">
        <w:t xml:space="preserve">order permitting unlicensed operations in the </w:t>
      </w:r>
      <w:r w:rsidRPr="00491899" w:rsidR="00FC4659">
        <w:t>6 GHz</w:t>
      </w:r>
      <w:r w:rsidRPr="00491899" w:rsidR="00EA3C26">
        <w:t xml:space="preserve"> band</w:t>
      </w:r>
      <w:r w:rsidRPr="00491899" w:rsidR="00473406">
        <w:t>)</w:t>
      </w:r>
      <w:r w:rsidRPr="00491899" w:rsidR="00FC4659">
        <w:t xml:space="preserve"> </w:t>
      </w:r>
      <w:r w:rsidRPr="00491899" w:rsidR="00FC4659">
        <w:rPr>
          <w:i/>
        </w:rPr>
        <w:t>and</w:t>
      </w:r>
      <w:r w:rsidRPr="00491899" w:rsidR="00FC4659">
        <w:t xml:space="preserve"> </w:t>
      </w:r>
      <w:r w:rsidRPr="00491899" w:rsidR="00DA5550">
        <w:rPr>
          <w:i/>
        </w:rPr>
        <w:t>Pub. Safety Spectrum Alliance v. FCC</w:t>
      </w:r>
      <w:r w:rsidRPr="00491899" w:rsidR="00DA5550">
        <w:t xml:space="preserve">, </w:t>
      </w:r>
      <w:r w:rsidRPr="00491899" w:rsidR="00243FF6">
        <w:t>No.</w:t>
      </w:r>
      <w:r w:rsidRPr="00491899" w:rsidR="00DA5550">
        <w:t xml:space="preserve"> </w:t>
      </w:r>
      <w:r w:rsidRPr="00491899" w:rsidR="00F30DA0">
        <w:t xml:space="preserve">24-1363, </w:t>
      </w:r>
      <w:r w:rsidRPr="00491899" w:rsidR="007C77FE">
        <w:t>2026 LX</w:t>
      </w:r>
      <w:r w:rsidRPr="00491899" w:rsidR="00FD2179">
        <w:t xml:space="preserve"> </w:t>
      </w:r>
      <w:r w:rsidRPr="00491899" w:rsidR="001B75E8">
        <w:t>21636</w:t>
      </w:r>
      <w:r w:rsidRPr="00491899" w:rsidR="00DA5550">
        <w:t xml:space="preserve"> </w:t>
      </w:r>
      <w:r w:rsidRPr="00491899" w:rsidR="00473406">
        <w:t>(</w:t>
      </w:r>
      <w:r w:rsidRPr="00491899" w:rsidR="008A5127">
        <w:t>D.C. Cir.</w:t>
      </w:r>
      <w:r w:rsidRPr="00491899" w:rsidR="00CF2A2A">
        <w:t xml:space="preserve"> </w:t>
      </w:r>
      <w:r w:rsidRPr="00491899" w:rsidR="002549D5">
        <w:t xml:space="preserve">July 21, </w:t>
      </w:r>
      <w:r w:rsidRPr="00491899" w:rsidR="00CF2A2A">
        <w:t>2026)</w:t>
      </w:r>
      <w:r w:rsidRPr="00491899" w:rsidR="00DA5550">
        <w:rPr>
          <w:i/>
        </w:rPr>
        <w:t xml:space="preserve"> </w:t>
      </w:r>
      <w:r w:rsidRPr="00491899" w:rsidR="00473406">
        <w:t>(</w:t>
      </w:r>
      <w:r w:rsidRPr="00491899" w:rsidR="00C906A7">
        <w:t xml:space="preserve">upholding the FCC’s order </w:t>
      </w:r>
      <w:r w:rsidRPr="00491899" w:rsidR="00363DC2">
        <w:t xml:space="preserve">establishing </w:t>
      </w:r>
      <w:r w:rsidR="00103D58">
        <w:t>new public safety rules</w:t>
      </w:r>
      <w:r w:rsidRPr="00491899" w:rsidR="00363DC2">
        <w:t xml:space="preserve"> for</w:t>
      </w:r>
      <w:r w:rsidRPr="00491899" w:rsidR="00491899">
        <w:t xml:space="preserve"> the </w:t>
      </w:r>
      <w:r w:rsidRPr="00491899" w:rsidR="00FC4659">
        <w:t>4.9 GHz</w:t>
      </w:r>
      <w:r w:rsidRPr="00491899" w:rsidR="00491899">
        <w:t xml:space="preserve"> band</w:t>
      </w:r>
      <w:r w:rsidRPr="00491899" w:rsidR="00473406">
        <w:t>)</w:t>
      </w:r>
      <w:r w:rsidRPr="00491899" w:rsidR="00FC4659">
        <w:t>.</w:t>
      </w:r>
    </w:p>
  </w:footnote>
  <w:footnote w:id="5">
    <w:p w:rsidR="0052168A" w:rsidRPr="00587CCC" w:rsidP="0052168A" w14:paraId="1618E9AD" w14:textId="77777777">
      <w:pPr>
        <w:pStyle w:val="FootnoteText"/>
      </w:pPr>
      <w:r w:rsidRPr="00587CCC">
        <w:rPr>
          <w:rStyle w:val="FootnoteReference"/>
          <w:sz w:val="20"/>
        </w:rPr>
        <w:footnoteRef/>
      </w:r>
      <w:r w:rsidRPr="00587CCC">
        <w:t xml:space="preserve"> </w:t>
      </w:r>
      <w:r w:rsidRPr="00587CCC">
        <w:rPr>
          <w:i/>
          <w:iCs/>
        </w:rPr>
        <w:t>See</w:t>
      </w:r>
      <w:r w:rsidRPr="00587CCC">
        <w:t xml:space="preserve"> Telecommunications Act of 1996, Pub. L. No. 104-104, § 704(b), 110 Stat. 56, 152 (directing the Commission to “prescribe and make effective rules regarding the environmental effects of radio frequency emissions”);</w:t>
      </w:r>
      <w:r w:rsidRPr="00587CCC">
        <w:rPr>
          <w:i/>
          <w:iCs/>
        </w:rPr>
        <w:t xml:space="preserve"> see also</w:t>
      </w:r>
      <w:r w:rsidRPr="00587CCC">
        <w:t xml:space="preserve"> </w:t>
      </w:r>
      <w:r w:rsidRPr="00587CCC">
        <w:rPr>
          <w:i/>
          <w:iCs/>
        </w:rPr>
        <w:t xml:space="preserve">2019 </w:t>
      </w:r>
      <w:r w:rsidRPr="00587CCC">
        <w:rPr>
          <w:i/>
          <w:iCs/>
          <w:noProof/>
        </w:rPr>
        <w:t xml:space="preserve">Resolution of Notice of Inquiry, Second Report and Order, </w:t>
      </w:r>
      <w:r w:rsidRPr="00587CCC">
        <w:rPr>
          <w:i/>
          <w:iCs/>
        </w:rPr>
        <w:t>and NPRM</w:t>
      </w:r>
      <w:r w:rsidRPr="00587CCC">
        <w:t xml:space="preserve">, 34 FCC </w:t>
      </w:r>
      <w:r w:rsidRPr="00587CCC">
        <w:t>Rcd</w:t>
      </w:r>
      <w:r w:rsidRPr="00587CCC">
        <w:t xml:space="preserve"> at 11689, para. 6 n.5; </w:t>
      </w:r>
      <w:r w:rsidRPr="00587CCC">
        <w:rPr>
          <w:i/>
          <w:iCs/>
          <w:noProof/>
        </w:rPr>
        <w:t>2013 R&amp;O, FNPRM, and NOI</w:t>
      </w:r>
      <w:r w:rsidRPr="00587CCC">
        <w:t xml:space="preserve">, 28 FCC </w:t>
      </w:r>
      <w:r w:rsidRPr="00587CCC">
        <w:t>Rcd</w:t>
      </w:r>
      <w:r w:rsidRPr="00587CCC">
        <w:t xml:space="preserve"> at 3503, 3530-31, paras. 10, 103 n.176.</w:t>
      </w:r>
    </w:p>
  </w:footnote>
  <w:footnote w:id="6">
    <w:p w:rsidR="007F6718" w:rsidRPr="00587CCC" w:rsidP="007F6718" w14:paraId="27C5AF0F" w14:textId="217CF045">
      <w:pPr>
        <w:pStyle w:val="FootnoteText"/>
      </w:pPr>
      <w:r w:rsidRPr="00587CCC">
        <w:rPr>
          <w:rStyle w:val="FootnoteReference"/>
          <w:sz w:val="20"/>
        </w:rPr>
        <w:footnoteRef/>
      </w:r>
      <w:r w:rsidRPr="00587CCC">
        <w:t xml:space="preserve"> </w:t>
      </w:r>
      <w:r w:rsidRPr="00587CCC">
        <w:rPr>
          <w:rFonts w:eastAsia="CIDFont+F1"/>
        </w:rPr>
        <w:t>47 C</w:t>
      </w:r>
      <w:r w:rsidRPr="00587CCC">
        <w:t>FR</w:t>
      </w:r>
      <w:r w:rsidRPr="00587CCC">
        <w:rPr>
          <w:rFonts w:eastAsia="CIDFont+F1"/>
        </w:rPr>
        <w:t xml:space="preserve"> §§ 1.1307, 1.1310.  </w:t>
      </w:r>
      <w:r w:rsidRPr="00587CCC">
        <w:rPr>
          <w:rFonts w:eastAsia="CIDFont+F1"/>
          <w:i/>
          <w:iCs/>
        </w:rPr>
        <w:t xml:space="preserve">See Guidelines for Evaluating the Environmental Effects of Radiofrequency </w:t>
      </w:r>
      <w:r w:rsidRPr="00587CCC">
        <w:rPr>
          <w:rFonts w:eastAsia="CIDFont+F1"/>
        </w:rPr>
        <w:t xml:space="preserve">Radiation, ET Docket No. 93-62, First Report and Order, 11 FCC </w:t>
      </w:r>
      <w:r w:rsidRPr="00587CCC">
        <w:rPr>
          <w:rFonts w:eastAsia="CIDFont+F1"/>
        </w:rPr>
        <w:t>Rcd</w:t>
      </w:r>
      <w:r w:rsidRPr="00587CCC">
        <w:rPr>
          <w:rFonts w:eastAsia="CIDFont+F1"/>
        </w:rPr>
        <w:t xml:space="preserve"> 15122 (1996) (</w:t>
      </w:r>
      <w:r w:rsidRPr="00587CCC">
        <w:rPr>
          <w:rFonts w:eastAsia="CIDFont+F1"/>
          <w:i/>
          <w:iCs/>
        </w:rPr>
        <w:t>1996 Order)</w:t>
      </w:r>
      <w:r w:rsidRPr="00587CCC">
        <w:rPr>
          <w:rFonts w:eastAsia="CIDFont+F1"/>
        </w:rPr>
        <w:t xml:space="preserve">; </w:t>
      </w:r>
      <w:r w:rsidRPr="00587CCC">
        <w:rPr>
          <w:rFonts w:eastAsia="CIDFont+F1"/>
          <w:i/>
          <w:iCs/>
        </w:rPr>
        <w:t>FCC Amends RF Emissions Rules and Adopts Notice of Proposed Rulemaking Seeking Comment on Preemption of State and local RF Regulations</w:t>
      </w:r>
      <w:r w:rsidRPr="00587CCC">
        <w:rPr>
          <w:rFonts w:eastAsia="CIDFont+F1"/>
        </w:rPr>
        <w:t xml:space="preserve">, ET Docket Nos. 93-62, 97-192, RM-8577, Second Memorandum Opinion and Order, 12 FCC </w:t>
      </w:r>
      <w:r w:rsidRPr="00587CCC">
        <w:rPr>
          <w:rFonts w:eastAsia="CIDFont+F1"/>
        </w:rPr>
        <w:t>Rcd</w:t>
      </w:r>
      <w:r w:rsidRPr="00587CCC">
        <w:rPr>
          <w:rFonts w:eastAsia="CIDFont+F1"/>
        </w:rPr>
        <w:t xml:space="preserve"> 13494 (1997); </w:t>
      </w:r>
      <w:r w:rsidRPr="00587CCC">
        <w:rPr>
          <w:noProof/>
        </w:rPr>
        <w:t>2013</w:t>
      </w:r>
      <w:r w:rsidRPr="00587CCC">
        <w:rPr>
          <w:i/>
          <w:iCs/>
          <w:noProof/>
        </w:rPr>
        <w:t xml:space="preserve"> R&amp;O, FNPRM, and NOI</w:t>
      </w:r>
      <w:r w:rsidRPr="00587CCC">
        <w:t xml:space="preserve">; and </w:t>
      </w:r>
      <w:r w:rsidRPr="00587CCC">
        <w:rPr>
          <w:i/>
          <w:iCs/>
          <w:noProof/>
        </w:rPr>
        <w:t>2019 Resolution of Notice of Inquiry, Second Report and Order,and  FNPRM</w:t>
      </w:r>
      <w:r w:rsidRPr="00587CCC">
        <w:t>.</w:t>
      </w:r>
    </w:p>
  </w:footnote>
  <w:footnote w:id="7">
    <w:p w:rsidR="007F6718" w:rsidRPr="00587CCC" w:rsidP="007F6718" w14:paraId="65D9A9E3" w14:textId="77777777">
      <w:pPr>
        <w:autoSpaceDE w:val="0"/>
        <w:autoSpaceDN w:val="0"/>
        <w:adjustRightInd w:val="0"/>
        <w:spacing w:after="120" w:line="240" w:lineRule="auto"/>
        <w:rPr>
          <w:rFonts w:ascii="Times New Roman" w:hAnsi="Times New Roman" w:cs="Times New Roman"/>
          <w:sz w:val="20"/>
          <w:szCs w:val="20"/>
        </w:rPr>
      </w:pPr>
      <w:r w:rsidRPr="00587CCC">
        <w:rPr>
          <w:rStyle w:val="FootnoteReference"/>
          <w:rFonts w:cs="Times New Roman"/>
          <w:sz w:val="20"/>
          <w:szCs w:val="20"/>
        </w:rPr>
        <w:footnoteRef/>
      </w:r>
      <w:r w:rsidRPr="00587CCC">
        <w:rPr>
          <w:rFonts w:ascii="Times New Roman" w:hAnsi="Times New Roman" w:cs="Times New Roman"/>
          <w:sz w:val="20"/>
          <w:szCs w:val="20"/>
        </w:rPr>
        <w:t xml:space="preserve"> </w:t>
      </w:r>
      <w:r w:rsidRPr="00587CCC">
        <w:rPr>
          <w:rFonts w:ascii="Times New Roman" w:hAnsi="Times New Roman" w:cs="Times New Roman"/>
          <w:i/>
          <w:sz w:val="20"/>
          <w:szCs w:val="20"/>
        </w:rPr>
        <w:t>Guidelines for Evaluating the Environmental Effects of Radiofrequency Radiation</w:t>
      </w:r>
      <w:r w:rsidRPr="00587CCC">
        <w:rPr>
          <w:rFonts w:ascii="Times New Roman" w:hAnsi="Times New Roman" w:cs="Times New Roman"/>
          <w:sz w:val="20"/>
          <w:szCs w:val="20"/>
        </w:rPr>
        <w:t xml:space="preserve">, ET Docket No. 93-62, Report and Order, 11 FCC </w:t>
      </w:r>
      <w:r w:rsidRPr="00587CCC">
        <w:rPr>
          <w:rFonts w:ascii="Times New Roman" w:hAnsi="Times New Roman" w:cs="Times New Roman"/>
          <w:sz w:val="20"/>
          <w:szCs w:val="20"/>
        </w:rPr>
        <w:t>Rcd</w:t>
      </w:r>
      <w:r w:rsidRPr="00587CCC">
        <w:rPr>
          <w:rFonts w:ascii="Times New Roman" w:hAnsi="Times New Roman" w:cs="Times New Roman"/>
          <w:sz w:val="20"/>
          <w:szCs w:val="20"/>
        </w:rPr>
        <w:t xml:space="preserve"> 15123, 15135-52, paras. 28-74 (1996).</w:t>
      </w:r>
    </w:p>
  </w:footnote>
  <w:footnote w:id="8">
    <w:p w:rsidR="0052168A" w:rsidP="0052168A" w14:paraId="7783E632" w14:textId="77777777">
      <w:pPr>
        <w:pStyle w:val="FootnoteText"/>
      </w:pPr>
      <w:r>
        <w:rPr>
          <w:rStyle w:val="FootnoteReference"/>
        </w:rPr>
        <w:footnoteRef/>
      </w:r>
      <w:r>
        <w:t xml:space="preserve"> </w:t>
      </w:r>
      <w:r w:rsidRPr="00587CCC">
        <w:rPr>
          <w:i/>
          <w:iCs/>
        </w:rPr>
        <w:t>See</w:t>
      </w:r>
      <w:r w:rsidRPr="00587CCC">
        <w:t xml:space="preserve"> </w:t>
      </w:r>
      <w:r w:rsidRPr="00587CCC">
        <w:rPr>
          <w:rFonts w:eastAsia="CIDFont+F3"/>
          <w:i/>
          <w:iCs/>
        </w:rPr>
        <w:t>Cellular Phone Taskforce v. FCC</w:t>
      </w:r>
      <w:r w:rsidRPr="00587CCC">
        <w:rPr>
          <w:rFonts w:eastAsia="CIDFont+F1"/>
        </w:rPr>
        <w:t>, 205 F.3d 82, 90-94 (2d Cir. 2000).</w:t>
      </w:r>
    </w:p>
  </w:footnote>
  <w:footnote w:id="9">
    <w:p w:rsidR="0052168A" w:rsidP="0052168A" w14:paraId="1A22FAC3" w14:textId="7241D66D">
      <w:pPr>
        <w:pStyle w:val="FootnoteText"/>
      </w:pPr>
      <w:r>
        <w:rPr>
          <w:rStyle w:val="FootnoteReference"/>
        </w:rPr>
        <w:footnoteRef/>
      </w:r>
      <w:r>
        <w:t xml:space="preserve"> </w:t>
      </w:r>
      <w:r w:rsidRPr="00587CCC" w:rsidR="00D963A7">
        <w:rPr>
          <w:rFonts w:eastAsia="CIDFont+F3"/>
          <w:i/>
          <w:iCs/>
        </w:rPr>
        <w:t>EMR Network v. FCC</w:t>
      </w:r>
      <w:r w:rsidRPr="00587CCC" w:rsidR="00D963A7">
        <w:rPr>
          <w:rFonts w:eastAsia="CIDFont+F1"/>
        </w:rPr>
        <w:t>, 391 F.3d 269, 274 (D.C. Cir. 2004).</w:t>
      </w:r>
    </w:p>
  </w:footnote>
  <w:footnote w:id="10">
    <w:p w:rsidR="0052168A" w:rsidP="0052168A" w14:paraId="4AFAC236" w14:textId="6997047A">
      <w:pPr>
        <w:pStyle w:val="FootnoteText"/>
      </w:pPr>
      <w:r>
        <w:rPr>
          <w:rStyle w:val="FootnoteReference"/>
        </w:rPr>
        <w:footnoteRef/>
      </w:r>
      <w:r>
        <w:t xml:space="preserve"> </w:t>
      </w:r>
      <w:r w:rsidR="0062583B">
        <w:rPr>
          <w:i/>
          <w:iCs/>
        </w:rPr>
        <w:t>En</w:t>
      </w:r>
      <w:r w:rsidR="00375CBE">
        <w:rPr>
          <w:i/>
          <w:iCs/>
        </w:rPr>
        <w:t>v’t</w:t>
      </w:r>
      <w:r w:rsidRPr="00925781" w:rsidR="00925781">
        <w:rPr>
          <w:i/>
          <w:iCs/>
        </w:rPr>
        <w:t xml:space="preserve"> Health </w:t>
      </w:r>
      <w:r w:rsidR="0062583B">
        <w:rPr>
          <w:i/>
          <w:iCs/>
        </w:rPr>
        <w:t>Tr</w:t>
      </w:r>
      <w:r w:rsidR="00375CBE">
        <w:rPr>
          <w:i/>
          <w:iCs/>
        </w:rPr>
        <w:t>.</w:t>
      </w:r>
      <w:r w:rsidRPr="00925781" w:rsidR="00925781">
        <w:rPr>
          <w:i/>
          <w:iCs/>
        </w:rPr>
        <w:t xml:space="preserve"> v. FCC</w:t>
      </w:r>
      <w:r w:rsidR="00925781">
        <w:t xml:space="preserve">, </w:t>
      </w:r>
      <w:r w:rsidR="008F486D">
        <w:t>9 F.4</w:t>
      </w:r>
      <w:r w:rsidRPr="008F486D" w:rsidR="008F486D">
        <w:t>th</w:t>
      </w:r>
      <w:r w:rsidR="008F486D">
        <w:t xml:space="preserve"> </w:t>
      </w:r>
      <w:r w:rsidR="0078046D">
        <w:t xml:space="preserve">893, </w:t>
      </w:r>
      <w:r w:rsidR="0062583B">
        <w:t>911-</w:t>
      </w:r>
      <w:r w:rsidR="00D00626">
        <w:t>12 (D.C. Cir. 2021) (</w:t>
      </w:r>
      <w:r w:rsidR="008B31BF">
        <w:t>upholding</w:t>
      </w:r>
      <w:r w:rsidR="00E775BC">
        <w:t xml:space="preserve">, </w:t>
      </w:r>
      <w:r w:rsidRPr="006F2D15" w:rsidR="00E775BC">
        <w:rPr>
          <w:i/>
          <w:iCs/>
        </w:rPr>
        <w:t>inter alia</w:t>
      </w:r>
      <w:r w:rsidR="00E775BC">
        <w:t>,</w:t>
      </w:r>
      <w:r w:rsidR="008B31BF">
        <w:t xml:space="preserve"> the FCC’s </w:t>
      </w:r>
      <w:r w:rsidR="00D76201">
        <w:t xml:space="preserve">determination </w:t>
      </w:r>
      <w:r w:rsidR="00B8023F">
        <w:t>that exposure to RF radiation at levels below the current limits will not cause cancer).</w:t>
      </w:r>
    </w:p>
  </w:footnote>
  <w:footnote w:id="11">
    <w:p w:rsidR="00FF2B6A" w:rsidRPr="00587CCC" w:rsidP="00587CCC" w14:paraId="34B3FA5B" w14:textId="379F9CBE">
      <w:pPr>
        <w:autoSpaceDE w:val="0"/>
        <w:autoSpaceDN w:val="0"/>
        <w:adjustRightInd w:val="0"/>
        <w:spacing w:line="240" w:lineRule="auto"/>
        <w:rPr>
          <w:rFonts w:ascii="Times New Roman" w:hAnsi="Times New Roman" w:cs="Times New Roman"/>
          <w:kern w:val="0"/>
          <w:sz w:val="20"/>
          <w:szCs w:val="20"/>
        </w:rPr>
      </w:pPr>
      <w:r w:rsidRPr="00587CCC">
        <w:rPr>
          <w:rStyle w:val="FootnoteReference"/>
          <w:rFonts w:cs="Times New Roman"/>
          <w:sz w:val="20"/>
          <w:szCs w:val="20"/>
        </w:rPr>
        <w:footnoteRef/>
      </w:r>
      <w:r w:rsidRPr="00587CCC">
        <w:rPr>
          <w:rFonts w:ascii="Times New Roman" w:hAnsi="Times New Roman" w:cs="Times New Roman"/>
          <w:sz w:val="20"/>
          <w:szCs w:val="20"/>
        </w:rPr>
        <w:t xml:space="preserve"> </w:t>
      </w:r>
      <w:r w:rsidRPr="00587CCC">
        <w:rPr>
          <w:rFonts w:ascii="Times New Roman" w:hAnsi="Times New Roman" w:cs="Times New Roman"/>
          <w:i/>
          <w:sz w:val="20"/>
          <w:szCs w:val="20"/>
        </w:rPr>
        <w:t>2019 Resolution of Notice of Inquiry, Second Report and Order, and NPRM</w:t>
      </w:r>
      <w:r w:rsidRPr="00587CCC">
        <w:rPr>
          <w:rFonts w:ascii="Times New Roman" w:hAnsi="Times New Roman" w:cs="Times New Roman"/>
          <w:sz w:val="20"/>
          <w:szCs w:val="20"/>
        </w:rPr>
        <w:t xml:space="preserve">, 34 FCC </w:t>
      </w:r>
      <w:r w:rsidRPr="00587CCC">
        <w:rPr>
          <w:rFonts w:ascii="Times New Roman" w:hAnsi="Times New Roman" w:cs="Times New Roman"/>
          <w:sz w:val="20"/>
          <w:szCs w:val="20"/>
        </w:rPr>
        <w:t>Rcd</w:t>
      </w:r>
      <w:r w:rsidRPr="00587CCC">
        <w:rPr>
          <w:rFonts w:ascii="Times New Roman" w:hAnsi="Times New Roman" w:cs="Times New Roman"/>
          <w:sz w:val="20"/>
          <w:szCs w:val="20"/>
        </w:rPr>
        <w:t xml:space="preserve"> at 11692, para. 10</w:t>
      </w:r>
      <w:r w:rsidRPr="00587CCC" w:rsidR="00A870D3">
        <w:rPr>
          <w:rFonts w:ascii="Times New Roman" w:hAnsi="Times New Roman" w:cs="Times New Roman"/>
          <w:sz w:val="20"/>
          <w:szCs w:val="20"/>
        </w:rPr>
        <w:t xml:space="preserve">; </w:t>
      </w:r>
      <w:r w:rsidRPr="00587CCC" w:rsidR="00A870D3">
        <w:rPr>
          <w:rFonts w:ascii="Times New Roman" w:hAnsi="Times New Roman" w:cs="Times New Roman"/>
          <w:i/>
          <w:sz w:val="20"/>
          <w:szCs w:val="20"/>
        </w:rPr>
        <w:t>see also</w:t>
      </w:r>
      <w:r w:rsidRPr="00587CCC" w:rsidR="00A870D3">
        <w:rPr>
          <w:rFonts w:ascii="Times New Roman" w:hAnsi="Times New Roman" w:cs="Times New Roman"/>
          <w:sz w:val="20"/>
          <w:szCs w:val="20"/>
        </w:rPr>
        <w:t xml:space="preserve"> </w:t>
      </w:r>
      <w:r w:rsidRPr="00587CCC" w:rsidR="00A870D3">
        <w:rPr>
          <w:rFonts w:ascii="Times New Roman" w:hAnsi="Times New Roman" w:cs="Times New Roman"/>
          <w:i/>
          <w:sz w:val="20"/>
          <w:szCs w:val="20"/>
        </w:rPr>
        <w:t>Reassessment of Federal Communications Commission Radiofrequency Exposure Limits and Policies; Proposed Changes in the Commission’s Rules Regarding Human Exposure to Radiofrequency Electromagnetic Fields</w:t>
      </w:r>
      <w:r w:rsidRPr="00587CCC" w:rsidR="00A870D3">
        <w:rPr>
          <w:rFonts w:ascii="Times New Roman" w:hAnsi="Times New Roman" w:cs="Times New Roman"/>
          <w:sz w:val="20"/>
          <w:szCs w:val="20"/>
        </w:rPr>
        <w:t xml:space="preserve">, ET Docket Nos. 13-84 and 03-137, First Report and Order, Further Notice of Proposed Rulemaking, and Notice of Inquiry, 28 FCC </w:t>
      </w:r>
      <w:r w:rsidRPr="00587CCC" w:rsidR="00A870D3">
        <w:rPr>
          <w:rFonts w:ascii="Times New Roman" w:hAnsi="Times New Roman" w:cs="Times New Roman"/>
          <w:sz w:val="20"/>
          <w:szCs w:val="20"/>
        </w:rPr>
        <w:t>Rcd</w:t>
      </w:r>
      <w:r w:rsidRPr="00587CCC" w:rsidR="00A870D3">
        <w:rPr>
          <w:rFonts w:ascii="Times New Roman" w:hAnsi="Times New Roman" w:cs="Times New Roman"/>
          <w:sz w:val="20"/>
          <w:szCs w:val="20"/>
        </w:rPr>
        <w:t xml:space="preserve"> 3498, </w:t>
      </w:r>
      <w:r w:rsidRPr="00587CCC" w:rsidR="008477FE">
        <w:rPr>
          <w:rFonts w:ascii="Times New Roman" w:hAnsi="Times New Roman" w:cs="Times New Roman"/>
          <w:sz w:val="20"/>
          <w:szCs w:val="20"/>
        </w:rPr>
        <w:t>3501-02</w:t>
      </w:r>
      <w:r w:rsidRPr="00587CCC" w:rsidR="00A870D3">
        <w:rPr>
          <w:rFonts w:ascii="Times New Roman" w:hAnsi="Times New Roman" w:cs="Times New Roman"/>
          <w:sz w:val="20"/>
          <w:szCs w:val="20"/>
        </w:rPr>
        <w:t xml:space="preserve">, </w:t>
      </w:r>
      <w:r w:rsidRPr="00587CCC" w:rsidR="006D551E">
        <w:rPr>
          <w:rFonts w:ascii="Times New Roman" w:hAnsi="Times New Roman" w:cs="Times New Roman"/>
          <w:sz w:val="20"/>
          <w:szCs w:val="20"/>
        </w:rPr>
        <w:t>3570-</w:t>
      </w:r>
      <w:r w:rsidRPr="00587CCC" w:rsidR="009334E7">
        <w:rPr>
          <w:rFonts w:ascii="Times New Roman" w:hAnsi="Times New Roman" w:cs="Times New Roman"/>
          <w:sz w:val="20"/>
          <w:szCs w:val="20"/>
        </w:rPr>
        <w:t>89</w:t>
      </w:r>
      <w:r w:rsidRPr="00587CCC" w:rsidR="00A870D3">
        <w:rPr>
          <w:rFonts w:ascii="Times New Roman" w:hAnsi="Times New Roman" w:cs="Times New Roman"/>
          <w:sz w:val="20"/>
          <w:szCs w:val="20"/>
        </w:rPr>
        <w:t xml:space="preserve">, paras. </w:t>
      </w:r>
      <w:r w:rsidRPr="00587CCC" w:rsidR="007C45F9">
        <w:rPr>
          <w:rFonts w:ascii="Times New Roman" w:hAnsi="Times New Roman" w:cs="Times New Roman"/>
          <w:sz w:val="20"/>
          <w:szCs w:val="20"/>
        </w:rPr>
        <w:t xml:space="preserve">5-7, </w:t>
      </w:r>
      <w:r w:rsidRPr="00587CCC" w:rsidR="006D551E">
        <w:rPr>
          <w:rFonts w:ascii="Times New Roman" w:hAnsi="Times New Roman" w:cs="Times New Roman"/>
          <w:sz w:val="20"/>
          <w:szCs w:val="20"/>
        </w:rPr>
        <w:t>205-</w:t>
      </w:r>
      <w:r w:rsidRPr="00587CCC" w:rsidR="009334E7">
        <w:rPr>
          <w:rFonts w:ascii="Times New Roman" w:hAnsi="Times New Roman" w:cs="Times New Roman"/>
          <w:sz w:val="20"/>
          <w:szCs w:val="20"/>
        </w:rPr>
        <w:t>52</w:t>
      </w:r>
      <w:r w:rsidRPr="00587CCC" w:rsidR="00A870D3">
        <w:rPr>
          <w:rFonts w:ascii="Times New Roman" w:hAnsi="Times New Roman" w:cs="Times New Roman"/>
          <w:sz w:val="20"/>
          <w:szCs w:val="20"/>
        </w:rPr>
        <w:t xml:space="preserve"> (2013) (</w:t>
      </w:r>
      <w:r w:rsidRPr="00587CCC" w:rsidR="00A870D3">
        <w:rPr>
          <w:rFonts w:ascii="Times New Roman" w:hAnsi="Times New Roman" w:cs="Times New Roman"/>
          <w:i/>
          <w:sz w:val="20"/>
          <w:szCs w:val="20"/>
        </w:rPr>
        <w:t>2013 R&amp;O, FNPRM, and NOI</w:t>
      </w:r>
      <w:r w:rsidRPr="00587CCC" w:rsidR="00A870D3">
        <w:rPr>
          <w:rFonts w:ascii="Times New Roman" w:hAnsi="Times New Roman" w:cs="Times New Roman"/>
          <w:sz w:val="20"/>
          <w:szCs w:val="20"/>
        </w:rPr>
        <w:t>)</w:t>
      </w:r>
      <w:r w:rsidRPr="00587CCC">
        <w:rPr>
          <w:rFonts w:ascii="Times New Roman" w:hAnsi="Times New Roman" w:cs="Times New Roman"/>
          <w:sz w:val="20"/>
          <w:szCs w:val="20"/>
        </w:rPr>
        <w:t>.</w:t>
      </w:r>
      <w:r w:rsidRPr="00587CCC" w:rsidR="00FB072D">
        <w:rPr>
          <w:rFonts w:ascii="Times New Roman" w:hAnsi="Times New Roman" w:cs="Times New Roman"/>
          <w:sz w:val="20"/>
          <w:szCs w:val="20"/>
        </w:rPr>
        <w:t xml:space="preserve">  The </w:t>
      </w:r>
      <w:r w:rsidRPr="00587CCC" w:rsidR="00C83331">
        <w:rPr>
          <w:rFonts w:ascii="Times New Roman" w:hAnsi="Times New Roman" w:cs="Times New Roman"/>
          <w:sz w:val="20"/>
          <w:szCs w:val="20"/>
        </w:rPr>
        <w:t>Commission</w:t>
      </w:r>
      <w:r w:rsidRPr="00587CCC" w:rsidR="00FB072D">
        <w:rPr>
          <w:rFonts w:ascii="Times New Roman" w:hAnsi="Times New Roman" w:cs="Times New Roman"/>
          <w:sz w:val="20"/>
          <w:szCs w:val="20"/>
        </w:rPr>
        <w:t xml:space="preserve">’s rules specify limits for human exposure to </w:t>
      </w:r>
      <w:r w:rsidRPr="00587CCC" w:rsidR="00804322">
        <w:rPr>
          <w:rFonts w:ascii="Times New Roman" w:hAnsi="Times New Roman" w:cs="Times New Roman"/>
          <w:sz w:val="20"/>
          <w:szCs w:val="20"/>
        </w:rPr>
        <w:t xml:space="preserve">RF </w:t>
      </w:r>
      <w:r w:rsidRPr="00587CCC" w:rsidR="00FB072D">
        <w:rPr>
          <w:rFonts w:ascii="Times New Roman" w:hAnsi="Times New Roman" w:cs="Times New Roman"/>
          <w:sz w:val="20"/>
          <w:szCs w:val="20"/>
        </w:rPr>
        <w:t xml:space="preserve">emissions from Commission-regulated transmitters and facilities above which analysis is required pursuant to the National Environmental Policy Act of 1969, as amended (NEPA).  </w:t>
      </w:r>
      <w:r w:rsidRPr="00587CCC" w:rsidR="00636ABC">
        <w:rPr>
          <w:rFonts w:ascii="Times New Roman" w:hAnsi="Times New Roman" w:cs="Times New Roman"/>
          <w:i/>
          <w:sz w:val="20"/>
          <w:szCs w:val="20"/>
        </w:rPr>
        <w:t>See</w:t>
      </w:r>
      <w:r w:rsidRPr="00587CCC" w:rsidR="00636ABC">
        <w:rPr>
          <w:rFonts w:ascii="Times New Roman" w:hAnsi="Times New Roman" w:cs="Times New Roman"/>
          <w:sz w:val="20"/>
          <w:szCs w:val="20"/>
        </w:rPr>
        <w:t xml:space="preserve"> </w:t>
      </w:r>
      <w:r w:rsidRPr="00587CCC" w:rsidR="00FB072D">
        <w:rPr>
          <w:rFonts w:ascii="Times New Roman" w:hAnsi="Times New Roman" w:cs="Times New Roman"/>
          <w:sz w:val="20"/>
          <w:szCs w:val="20"/>
        </w:rPr>
        <w:t xml:space="preserve">47 CFR §§ 1.1307, 1.1310; </w:t>
      </w:r>
      <w:r w:rsidRPr="00587CCC" w:rsidR="00FB072D">
        <w:rPr>
          <w:rFonts w:ascii="Times New Roman" w:hAnsi="Times New Roman" w:cs="Times New Roman"/>
          <w:i/>
          <w:sz w:val="20"/>
          <w:szCs w:val="20"/>
        </w:rPr>
        <w:t>see also</w:t>
      </w:r>
      <w:r w:rsidRPr="00587CCC" w:rsidR="00FB072D">
        <w:rPr>
          <w:rFonts w:ascii="Times New Roman" w:hAnsi="Times New Roman" w:cs="Times New Roman"/>
          <w:sz w:val="20"/>
          <w:szCs w:val="20"/>
        </w:rPr>
        <w:t xml:space="preserve"> 42 U.S.C. § 4321</w:t>
      </w:r>
      <w:r w:rsidRPr="00587CCC" w:rsidR="00571325">
        <w:rPr>
          <w:rFonts w:ascii="Times New Roman" w:hAnsi="Times New Roman" w:cs="Times New Roman"/>
          <w:sz w:val="20"/>
          <w:szCs w:val="20"/>
        </w:rPr>
        <w:t xml:space="preserve"> </w:t>
      </w:r>
      <w:r w:rsidRPr="00587CCC" w:rsidR="00571325">
        <w:rPr>
          <w:rFonts w:ascii="Times New Roman" w:hAnsi="Times New Roman" w:cs="Times New Roman"/>
          <w:i/>
          <w:sz w:val="20"/>
          <w:szCs w:val="20"/>
        </w:rPr>
        <w:t>et seq.</w:t>
      </w:r>
      <w:r w:rsidRPr="00587CCC" w:rsidR="00F451E0">
        <w:rPr>
          <w:rFonts w:ascii="Times New Roman" w:hAnsi="Times New Roman" w:cs="Times New Roman"/>
          <w:i/>
          <w:sz w:val="20"/>
          <w:szCs w:val="20"/>
        </w:rPr>
        <w:t xml:space="preserve">  </w:t>
      </w:r>
      <w:r w:rsidRPr="00587CCC" w:rsidR="00F451E0">
        <w:rPr>
          <w:rFonts w:ascii="Times New Roman" w:hAnsi="Times New Roman" w:cs="Times New Roman"/>
          <w:sz w:val="20"/>
          <w:szCs w:val="20"/>
        </w:rPr>
        <w:t xml:space="preserve">The resolution of the </w:t>
      </w:r>
      <w:r w:rsidRPr="00587CCC" w:rsidR="00F451E0">
        <w:rPr>
          <w:rFonts w:ascii="Times New Roman" w:hAnsi="Times New Roman" w:cs="Times New Roman"/>
          <w:i/>
          <w:sz w:val="20"/>
          <w:szCs w:val="20"/>
        </w:rPr>
        <w:t>Notice of Inquiry</w:t>
      </w:r>
      <w:r w:rsidRPr="00587CCC" w:rsidR="00F451E0">
        <w:rPr>
          <w:rFonts w:ascii="Times New Roman" w:hAnsi="Times New Roman" w:cs="Times New Roman"/>
          <w:sz w:val="20"/>
          <w:szCs w:val="20"/>
        </w:rPr>
        <w:t xml:space="preserve"> was part of a larger 2019 item.  </w:t>
      </w:r>
      <w:r w:rsidRPr="00587CCC" w:rsidR="00F451E0">
        <w:rPr>
          <w:rFonts w:ascii="Times New Roman" w:hAnsi="Times New Roman" w:cs="Times New Roman"/>
          <w:i/>
          <w:sz w:val="20"/>
          <w:szCs w:val="20"/>
        </w:rPr>
        <w:t>Proposed Changes in the Commission's Rules Regarding Human Exposure to Radiofrequency Electromagnetic Fields; Reassessment of Federal Communications Commission Radiofrequency Exposure Limits and Policies; Targeted Changes to the Commission’s Rules Regarding Human Exposure to Radiofrequency Electromagnetic Fields</w:t>
      </w:r>
      <w:r w:rsidRPr="00587CCC" w:rsidR="00F451E0">
        <w:rPr>
          <w:rFonts w:ascii="Times New Roman" w:hAnsi="Times New Roman" w:cs="Times New Roman"/>
          <w:sz w:val="20"/>
          <w:szCs w:val="20"/>
        </w:rPr>
        <w:t xml:space="preserve">, ET Docket Nos. 03-137, 13-84, and 19-226, Resolution of Notice of Inquiry, Second Report and Order, Notice of Proposed Rulemaking, and Memorandum Opinion and Order, 34 FCC </w:t>
      </w:r>
      <w:r w:rsidRPr="00587CCC" w:rsidR="00F451E0">
        <w:rPr>
          <w:rFonts w:ascii="Times New Roman" w:hAnsi="Times New Roman" w:cs="Times New Roman"/>
          <w:sz w:val="20"/>
          <w:szCs w:val="20"/>
        </w:rPr>
        <w:t>Rcd</w:t>
      </w:r>
      <w:r w:rsidRPr="00587CCC" w:rsidR="00F451E0">
        <w:rPr>
          <w:rFonts w:ascii="Times New Roman" w:hAnsi="Times New Roman" w:cs="Times New Roman"/>
          <w:sz w:val="20"/>
          <w:szCs w:val="20"/>
        </w:rPr>
        <w:t xml:space="preserve"> 11687 (2019) (</w:t>
      </w:r>
      <w:r w:rsidRPr="00587CCC" w:rsidR="00F451E0">
        <w:rPr>
          <w:rFonts w:ascii="Times New Roman" w:hAnsi="Times New Roman" w:cs="Times New Roman"/>
          <w:i/>
          <w:sz w:val="20"/>
          <w:szCs w:val="20"/>
        </w:rPr>
        <w:t>2019 Resolution of Notice of Inquiry, Second Report and Order, and NPRM</w:t>
      </w:r>
      <w:r w:rsidRPr="00587CCC" w:rsidR="00F451E0">
        <w:rPr>
          <w:rFonts w:ascii="Times New Roman" w:hAnsi="Times New Roman" w:cs="Times New Roman"/>
          <w:sz w:val="20"/>
          <w:szCs w:val="20"/>
        </w:rPr>
        <w:t xml:space="preserve">), </w:t>
      </w:r>
      <w:r w:rsidRPr="00587CCC" w:rsidR="00F451E0">
        <w:rPr>
          <w:rFonts w:ascii="Times New Roman" w:hAnsi="Times New Roman" w:cs="Times New Roman"/>
          <w:i/>
          <w:sz w:val="20"/>
          <w:szCs w:val="20"/>
        </w:rPr>
        <w:t>aff’d in part and remanded in part</w:t>
      </w:r>
      <w:r w:rsidRPr="00587CCC" w:rsidR="00F451E0">
        <w:rPr>
          <w:rFonts w:ascii="Times New Roman" w:hAnsi="Times New Roman" w:cs="Times New Roman"/>
          <w:sz w:val="20"/>
          <w:szCs w:val="20"/>
        </w:rPr>
        <w:t xml:space="preserve">, </w:t>
      </w:r>
      <w:r w:rsidRPr="00587CCC" w:rsidR="00F451E0">
        <w:rPr>
          <w:rFonts w:ascii="Times New Roman" w:hAnsi="Times New Roman" w:cs="Times New Roman"/>
          <w:i/>
          <w:sz w:val="20"/>
          <w:szCs w:val="20"/>
        </w:rPr>
        <w:t>Env’t Health Tr. v. FCC</w:t>
      </w:r>
      <w:r w:rsidRPr="00587CCC" w:rsidR="00F451E0">
        <w:rPr>
          <w:rFonts w:ascii="Times New Roman" w:hAnsi="Times New Roman" w:cs="Times New Roman"/>
          <w:sz w:val="20"/>
          <w:szCs w:val="20"/>
        </w:rPr>
        <w:t>, 9 F.4th 893 (D.C. Cir. 2021).</w:t>
      </w:r>
    </w:p>
  </w:footnote>
  <w:footnote w:id="12">
    <w:p w:rsidR="00920CB5" w:rsidRPr="00587CCC" w:rsidP="00587CCC" w14:paraId="665822FF" w14:textId="2F9B6CD0">
      <w:pPr>
        <w:autoSpaceDE w:val="0"/>
        <w:autoSpaceDN w:val="0"/>
        <w:adjustRightInd w:val="0"/>
        <w:spacing w:line="240" w:lineRule="auto"/>
        <w:rPr>
          <w:rFonts w:ascii="Times New Roman" w:hAnsi="Times New Roman" w:cs="Times New Roman"/>
          <w:kern w:val="0"/>
          <w:sz w:val="20"/>
          <w:szCs w:val="20"/>
        </w:rPr>
      </w:pPr>
      <w:r w:rsidRPr="00587CCC">
        <w:rPr>
          <w:rStyle w:val="FootnoteReference"/>
          <w:rFonts w:cs="Times New Roman"/>
          <w:sz w:val="20"/>
          <w:szCs w:val="20"/>
        </w:rPr>
        <w:footnoteRef/>
      </w:r>
      <w:r w:rsidRPr="00587CCC">
        <w:rPr>
          <w:rFonts w:ascii="Times New Roman" w:hAnsi="Times New Roman" w:cs="Times New Roman"/>
          <w:sz w:val="20"/>
          <w:szCs w:val="20"/>
        </w:rPr>
        <w:t xml:space="preserve"> </w:t>
      </w:r>
      <w:r w:rsidRPr="00587CCC" w:rsidR="00636ABC">
        <w:rPr>
          <w:rFonts w:ascii="Times New Roman" w:hAnsi="Times New Roman" w:cs="Times New Roman"/>
          <w:i/>
          <w:sz w:val="20"/>
          <w:szCs w:val="20"/>
        </w:rPr>
        <w:t>2019 Resolution of Notice of Inquiry, Second Report and Order, and NPRM</w:t>
      </w:r>
      <w:r w:rsidRPr="00587CCC" w:rsidR="00636ABC">
        <w:rPr>
          <w:rFonts w:ascii="Times New Roman" w:hAnsi="Times New Roman" w:cs="Times New Roman"/>
          <w:sz w:val="20"/>
          <w:szCs w:val="20"/>
        </w:rPr>
        <w:t xml:space="preserve">, 34 FCC </w:t>
      </w:r>
      <w:r w:rsidRPr="00587CCC" w:rsidR="00636ABC">
        <w:rPr>
          <w:rFonts w:ascii="Times New Roman" w:hAnsi="Times New Roman" w:cs="Times New Roman"/>
          <w:sz w:val="20"/>
          <w:szCs w:val="20"/>
        </w:rPr>
        <w:t>Rcd</w:t>
      </w:r>
      <w:r w:rsidRPr="00587CCC" w:rsidR="00636ABC">
        <w:rPr>
          <w:rFonts w:ascii="Times New Roman" w:hAnsi="Times New Roman" w:cs="Times New Roman"/>
          <w:sz w:val="20"/>
          <w:szCs w:val="20"/>
        </w:rPr>
        <w:t xml:space="preserve"> at</w:t>
      </w:r>
      <w:r w:rsidRPr="00587CCC" w:rsidR="002C3E5E">
        <w:rPr>
          <w:rFonts w:ascii="Times New Roman" w:hAnsi="Times New Roman" w:cs="Times New Roman"/>
          <w:sz w:val="20"/>
          <w:szCs w:val="20"/>
        </w:rPr>
        <w:t xml:space="preserve"> 1169</w:t>
      </w:r>
      <w:r w:rsidRPr="00587CCC" w:rsidR="00F3668D">
        <w:rPr>
          <w:rFonts w:ascii="Times New Roman" w:hAnsi="Times New Roman" w:cs="Times New Roman"/>
          <w:sz w:val="20"/>
          <w:szCs w:val="20"/>
        </w:rPr>
        <w:t>2-9</w:t>
      </w:r>
      <w:r w:rsidRPr="00587CCC" w:rsidR="003B7661">
        <w:rPr>
          <w:rFonts w:ascii="Times New Roman" w:hAnsi="Times New Roman" w:cs="Times New Roman"/>
          <w:sz w:val="20"/>
          <w:szCs w:val="20"/>
        </w:rPr>
        <w:t>5</w:t>
      </w:r>
      <w:r w:rsidRPr="00587CCC" w:rsidR="002C3E5E">
        <w:rPr>
          <w:rFonts w:ascii="Times New Roman" w:hAnsi="Times New Roman" w:cs="Times New Roman"/>
          <w:sz w:val="20"/>
          <w:szCs w:val="20"/>
        </w:rPr>
        <w:t>, para</w:t>
      </w:r>
      <w:r w:rsidRPr="00587CCC" w:rsidR="00F3668D">
        <w:rPr>
          <w:rFonts w:ascii="Times New Roman" w:hAnsi="Times New Roman" w:cs="Times New Roman"/>
          <w:sz w:val="20"/>
          <w:szCs w:val="20"/>
        </w:rPr>
        <w:t>s</w:t>
      </w:r>
      <w:r w:rsidRPr="00587CCC" w:rsidR="002C3E5E">
        <w:rPr>
          <w:rFonts w:ascii="Times New Roman" w:hAnsi="Times New Roman" w:cs="Times New Roman"/>
          <w:sz w:val="20"/>
          <w:szCs w:val="20"/>
        </w:rPr>
        <w:t>. 1</w:t>
      </w:r>
      <w:r w:rsidRPr="00587CCC" w:rsidR="00F3668D">
        <w:rPr>
          <w:rFonts w:ascii="Times New Roman" w:hAnsi="Times New Roman" w:cs="Times New Roman"/>
          <w:sz w:val="20"/>
          <w:szCs w:val="20"/>
        </w:rPr>
        <w:t>0-1</w:t>
      </w:r>
      <w:r w:rsidRPr="00587CCC" w:rsidR="003B7661">
        <w:rPr>
          <w:rFonts w:ascii="Times New Roman" w:hAnsi="Times New Roman" w:cs="Times New Roman"/>
          <w:sz w:val="20"/>
          <w:szCs w:val="20"/>
        </w:rPr>
        <w:t>3</w:t>
      </w:r>
      <w:r w:rsidRPr="00587CCC" w:rsidR="002C3E5E">
        <w:rPr>
          <w:rFonts w:ascii="Times New Roman" w:hAnsi="Times New Roman" w:cs="Times New Roman"/>
          <w:sz w:val="20"/>
          <w:szCs w:val="20"/>
        </w:rPr>
        <w:t>.</w:t>
      </w:r>
    </w:p>
  </w:footnote>
  <w:footnote w:id="13">
    <w:p w:rsidR="0025026C" w:rsidRPr="00587CCC" w:rsidP="00587CCC" w14:paraId="0AB22B1E" w14:textId="7FFEC0D7">
      <w:pPr>
        <w:pStyle w:val="FootnoteText"/>
        <w:rPr>
          <w:noProof/>
        </w:rPr>
      </w:pPr>
      <w:r w:rsidRPr="00587CCC">
        <w:rPr>
          <w:rStyle w:val="FootnoteReference"/>
          <w:sz w:val="20"/>
        </w:rPr>
        <w:footnoteRef/>
      </w:r>
      <w:r w:rsidRPr="00587CCC">
        <w:t xml:space="preserve"> </w:t>
      </w:r>
      <w:r w:rsidRPr="00587CCC">
        <w:rPr>
          <w:i/>
          <w:iCs/>
          <w:noProof/>
        </w:rPr>
        <w:t>Env’t Health Tr.</w:t>
      </w:r>
      <w:r w:rsidRPr="00587CCC">
        <w:rPr>
          <w:noProof/>
        </w:rPr>
        <w:t xml:space="preserve">, 9 F.4th at </w:t>
      </w:r>
      <w:r w:rsidRPr="00587CCC" w:rsidR="00C70CC3">
        <w:rPr>
          <w:noProof/>
        </w:rPr>
        <w:t xml:space="preserve">903, </w:t>
      </w:r>
      <w:r w:rsidRPr="00587CCC" w:rsidR="00E9724F">
        <w:rPr>
          <w:noProof/>
        </w:rPr>
        <w:t>911-1</w:t>
      </w:r>
      <w:r w:rsidRPr="00587CCC" w:rsidR="00BD4C5E">
        <w:rPr>
          <w:noProof/>
        </w:rPr>
        <w:t>2</w:t>
      </w:r>
      <w:r w:rsidRPr="00587CCC" w:rsidR="008A555D">
        <w:rPr>
          <w:noProof/>
        </w:rPr>
        <w:t xml:space="preserve">.  </w:t>
      </w:r>
    </w:p>
  </w:footnote>
  <w:footnote w:id="14">
    <w:p w:rsidR="00FC0BAD" w14:paraId="2C316338" w14:textId="6B3902B8">
      <w:pPr>
        <w:pStyle w:val="FootnoteText"/>
      </w:pPr>
      <w:r>
        <w:rPr>
          <w:rStyle w:val="FootnoteReference"/>
        </w:rPr>
        <w:footnoteRef/>
      </w:r>
      <w:r>
        <w:t xml:space="preserve"> </w:t>
      </w:r>
      <w:r w:rsidRPr="00587CCC">
        <w:rPr>
          <w:i/>
          <w:iCs/>
          <w:noProof/>
        </w:rPr>
        <w:t>Id.</w:t>
      </w:r>
      <w:r w:rsidRPr="00587CCC">
        <w:rPr>
          <w:noProof/>
        </w:rPr>
        <w:t xml:space="preserve"> at 912-14.</w:t>
      </w:r>
    </w:p>
  </w:footnote>
  <w:footnote w:id="15">
    <w:p w:rsidR="007F6718" w:rsidRPr="00587CCC" w:rsidP="007F6718" w14:paraId="3B293AAE" w14:textId="77777777">
      <w:pPr>
        <w:pStyle w:val="FootnoteText"/>
      </w:pPr>
      <w:r w:rsidRPr="00587CCC">
        <w:rPr>
          <w:rStyle w:val="FootnoteReference"/>
          <w:sz w:val="20"/>
        </w:rPr>
        <w:footnoteRef/>
      </w:r>
      <w:r w:rsidRPr="00587CCC">
        <w:t xml:space="preserve"> </w:t>
      </w:r>
      <w:r w:rsidRPr="00587CCC">
        <w:rPr>
          <w:i/>
          <w:iCs/>
        </w:rPr>
        <w:t>Id.</w:t>
      </w:r>
      <w:r w:rsidRPr="00587CCC">
        <w:t xml:space="preserve"> at 914; </w:t>
      </w:r>
      <w:r w:rsidRPr="00587CCC">
        <w:rPr>
          <w:i/>
          <w:iCs/>
        </w:rPr>
        <w:t>see id.</w:t>
      </w:r>
      <w:r w:rsidRPr="00587CCC">
        <w:t xml:space="preserve"> at 903-08.</w:t>
      </w:r>
    </w:p>
  </w:footnote>
  <w:footnote w:id="16">
    <w:p w:rsidR="007F6718" w:rsidRPr="00587CCC" w:rsidP="007F6718" w14:paraId="37BCFF33" w14:textId="77777777">
      <w:pPr>
        <w:pStyle w:val="FootnoteText"/>
      </w:pPr>
      <w:r w:rsidRPr="00587CCC">
        <w:rPr>
          <w:rStyle w:val="FootnoteReference"/>
          <w:sz w:val="20"/>
        </w:rPr>
        <w:footnoteRef/>
      </w:r>
      <w:r w:rsidRPr="00587CCC">
        <w:t xml:space="preserve"> </w:t>
      </w:r>
      <w:r w:rsidRPr="00587CCC">
        <w:rPr>
          <w:i/>
          <w:iCs/>
          <w:noProof/>
        </w:rPr>
        <w:t>Env’t Health Tr.</w:t>
      </w:r>
      <w:r w:rsidRPr="00587CCC">
        <w:rPr>
          <w:noProof/>
        </w:rPr>
        <w:t>, 9 F.4th at</w:t>
      </w:r>
      <w:r w:rsidRPr="00587CCC">
        <w:t xml:space="preserve"> 914; </w:t>
      </w:r>
      <w:r w:rsidRPr="00587CCC">
        <w:rPr>
          <w:i/>
          <w:iCs/>
        </w:rPr>
        <w:t>see</w:t>
      </w:r>
      <w:r w:rsidRPr="00587CCC">
        <w:t xml:space="preserve"> </w:t>
      </w:r>
      <w:r w:rsidRPr="00587CCC">
        <w:rPr>
          <w:i/>
          <w:iCs/>
        </w:rPr>
        <w:t>id.</w:t>
      </w:r>
      <w:r w:rsidRPr="00587CCC">
        <w:t xml:space="preserve"> at 908-10.</w:t>
      </w:r>
    </w:p>
  </w:footnote>
  <w:footnote w:id="17">
    <w:p w:rsidR="00C64F07" w:rsidRPr="00587CCC" w:rsidP="00587CCC" w14:paraId="4B295FEB" w14:textId="54B60E27">
      <w:pPr>
        <w:pStyle w:val="FootnoteText"/>
      </w:pPr>
      <w:r w:rsidRPr="00587CCC">
        <w:rPr>
          <w:rStyle w:val="FootnoteReference"/>
          <w:sz w:val="20"/>
        </w:rPr>
        <w:footnoteRef/>
      </w:r>
      <w:r w:rsidRPr="00587CCC">
        <w:t xml:space="preserve"> </w:t>
      </w:r>
      <w:r w:rsidRPr="00587CCC">
        <w:rPr>
          <w:i/>
          <w:iCs/>
        </w:rPr>
        <w:t xml:space="preserve">See generally 2019 </w:t>
      </w:r>
      <w:r w:rsidRPr="00587CCC">
        <w:rPr>
          <w:i/>
          <w:iCs/>
          <w:noProof/>
        </w:rPr>
        <w:t xml:space="preserve">Resolution of Notice of Inquiry, Second Report and Order, </w:t>
      </w:r>
      <w:r w:rsidRPr="00587CCC">
        <w:rPr>
          <w:i/>
          <w:iCs/>
        </w:rPr>
        <w:t>and NPRM</w:t>
      </w:r>
      <w:r w:rsidRPr="00587CCC">
        <w:t>.</w:t>
      </w:r>
    </w:p>
  </w:footnote>
  <w:footnote w:id="18">
    <w:p w:rsidR="00E56D26" w14:paraId="41D8C389" w14:textId="4178AE9F">
      <w:pPr>
        <w:pStyle w:val="FootnoteText"/>
      </w:pPr>
      <w:r>
        <w:rPr>
          <w:rStyle w:val="FootnoteReference"/>
        </w:rPr>
        <w:footnoteRef/>
      </w:r>
      <w:r>
        <w:t xml:space="preserve"> </w:t>
      </w:r>
      <w:r w:rsidRPr="00587CCC">
        <w:rPr>
          <w:i/>
          <w:iCs/>
          <w:noProof/>
        </w:rPr>
        <w:t>Env’t Health Tr.</w:t>
      </w:r>
      <w:r w:rsidRPr="00587CCC">
        <w:rPr>
          <w:noProof/>
        </w:rPr>
        <w:t>, 9 F.4th at</w:t>
      </w:r>
      <w:r w:rsidRPr="00587CCC">
        <w:t xml:space="preserve"> 914</w:t>
      </w:r>
      <w:r>
        <w:t>.</w:t>
      </w:r>
    </w:p>
  </w:footnote>
  <w:footnote w:id="19">
    <w:p w:rsidR="00722D13" w:rsidRPr="00722D13" w14:paraId="78300A76" w14:textId="22D54850">
      <w:pPr>
        <w:pStyle w:val="FootnoteText"/>
      </w:pPr>
      <w:r>
        <w:rPr>
          <w:rStyle w:val="FootnoteReference"/>
        </w:rPr>
        <w:footnoteRef/>
      </w:r>
      <w:r>
        <w:t xml:space="preserve"> </w:t>
      </w:r>
      <w:r>
        <w:rPr>
          <w:i/>
          <w:iCs/>
        </w:rPr>
        <w:t>Id.</w:t>
      </w:r>
      <w:r>
        <w:t xml:space="preserve"> at </w:t>
      </w:r>
      <w:r w:rsidR="00D56725">
        <w:t>9</w:t>
      </w:r>
      <w:r w:rsidR="00BA362C">
        <w:t>03-</w:t>
      </w:r>
      <w:r w:rsidR="00D56725">
        <w:t>10.</w:t>
      </w:r>
    </w:p>
  </w:footnote>
  <w:footnote w:id="20">
    <w:p w:rsidR="00722D13" w14:paraId="799D770C" w14:textId="34B7FC0C">
      <w:pPr>
        <w:pStyle w:val="FootnoteText"/>
      </w:pPr>
      <w:r>
        <w:rPr>
          <w:rStyle w:val="FootnoteReference"/>
        </w:rPr>
        <w:footnoteRef/>
      </w:r>
      <w:r>
        <w:t xml:space="preserve"> </w:t>
      </w:r>
      <w:r>
        <w:rPr>
          <w:i/>
          <w:iCs/>
        </w:rPr>
        <w:t>Id.</w:t>
      </w:r>
      <w:r>
        <w:t xml:space="preserve"> at</w:t>
      </w:r>
      <w:r w:rsidR="00AD234B">
        <w:t xml:space="preserve"> 914.</w:t>
      </w:r>
    </w:p>
  </w:footnote>
  <w:footnote w:id="21">
    <w:p w:rsidR="003E0EB0" w:rsidRPr="003E0EB0" w:rsidP="003B4C89" w14:paraId="1F32929B" w14:textId="1B444B0B">
      <w:pPr>
        <w:pStyle w:val="FootnoteText"/>
      </w:pPr>
      <w:r>
        <w:rPr>
          <w:rStyle w:val="FootnoteReference"/>
        </w:rPr>
        <w:footnoteRef/>
      </w:r>
      <w:r>
        <w:t xml:space="preserve"> </w:t>
      </w:r>
      <w:r>
        <w:rPr>
          <w:i/>
          <w:iCs/>
        </w:rPr>
        <w:t>Id.</w:t>
      </w:r>
      <w:r>
        <w:t xml:space="preserve"> at</w:t>
      </w:r>
      <w:r w:rsidR="007E248D">
        <w:t xml:space="preserve"> 910</w:t>
      </w:r>
      <w:r w:rsidR="00B83270">
        <w:t xml:space="preserve">.  </w:t>
      </w:r>
      <w:r w:rsidRPr="002B68E4" w:rsidR="00B83270">
        <w:rPr>
          <w:i/>
          <w:iCs/>
        </w:rPr>
        <w:t>But see id</w:t>
      </w:r>
      <w:r w:rsidR="00B83270">
        <w:t xml:space="preserve">. at </w:t>
      </w:r>
      <w:r w:rsidR="002C3BD7">
        <w:t>915</w:t>
      </w:r>
      <w:r w:rsidR="00D04706">
        <w:t>-16</w:t>
      </w:r>
      <w:r w:rsidR="00145BD8">
        <w:t xml:space="preserve"> (</w:t>
      </w:r>
      <w:r w:rsidR="00704722">
        <w:t>Henderson, K., dissenting</w:t>
      </w:r>
      <w:r w:rsidR="0079365C">
        <w:t xml:space="preserve"> in part</w:t>
      </w:r>
      <w:r w:rsidR="00CD4B20">
        <w:t>)</w:t>
      </w:r>
      <w:r w:rsidR="0079365C">
        <w:t xml:space="preserve"> </w:t>
      </w:r>
      <w:r w:rsidR="00D35151">
        <w:t>(“</w:t>
      </w:r>
      <w:r w:rsidR="002C3BD7">
        <w:t>[a] close inspection of the five research articles confirms that they “are nothing if not tentative</w:t>
      </w:r>
      <w:r w:rsidR="00E42081">
        <w:t>”) (internal citation omitted)</w:t>
      </w:r>
      <w:r w:rsidR="002066BD">
        <w:t xml:space="preserve">; </w:t>
      </w:r>
      <w:r w:rsidRPr="002B68E4" w:rsidR="002066BD">
        <w:rPr>
          <w:i/>
          <w:iCs/>
        </w:rPr>
        <w:t>see also id.</w:t>
      </w:r>
      <w:r w:rsidR="002066BD">
        <w:t xml:space="preserve"> </w:t>
      </w:r>
      <w:r w:rsidR="006E7ABA">
        <w:t xml:space="preserve">(Henderson, K., dissenting in part) </w:t>
      </w:r>
      <w:r w:rsidR="002066BD">
        <w:t>(</w:t>
      </w:r>
      <w:r w:rsidR="00D04706">
        <w:t>concluding that “[b]</w:t>
      </w:r>
      <w:r w:rsidR="00D04706">
        <w:t>ecause</w:t>
      </w:r>
      <w:r w:rsidR="00D04706">
        <w:t xml:space="preserve"> the studies on which the majority relies plainly are tentative, they do not challenge a fundamental premise of the Commission's decision and therefore cannot provide the basis for the majority</w:t>
      </w:r>
      <w:r w:rsidR="00B13657">
        <w:t>’</w:t>
      </w:r>
      <w:r w:rsidR="00D04706">
        <w:t xml:space="preserve">s limited remand under our precedent” while </w:t>
      </w:r>
      <w:r w:rsidR="0008233A">
        <w:t xml:space="preserve">noting that </w:t>
      </w:r>
      <w:r w:rsidR="00CF1634">
        <w:t>five articles</w:t>
      </w:r>
      <w:r w:rsidR="00D04706">
        <w:t xml:space="preserve">, among other </w:t>
      </w:r>
      <w:r w:rsidR="00B13657">
        <w:t>obser</w:t>
      </w:r>
      <w:r w:rsidR="00E9606A">
        <w:t xml:space="preserve">ved </w:t>
      </w:r>
      <w:r w:rsidR="00D04706">
        <w:t>shortcomings,</w:t>
      </w:r>
      <w:r w:rsidR="00CF1634">
        <w:t xml:space="preserve"> variously </w:t>
      </w:r>
      <w:r w:rsidR="0008233A">
        <w:t xml:space="preserve">fail to offer conclusive evidence </w:t>
      </w:r>
      <w:r w:rsidR="003E6A74">
        <w:t>or find negative health effects</w:t>
      </w:r>
      <w:r w:rsidR="00901915">
        <w:t xml:space="preserve">, </w:t>
      </w:r>
      <w:r w:rsidR="000E723E">
        <w:t xml:space="preserve">provide </w:t>
      </w:r>
      <w:r w:rsidR="003B4C89">
        <w:t>“a murky picture of the current science</w:t>
      </w:r>
      <w:r w:rsidR="00D949B8">
        <w:t>,</w:t>
      </w:r>
      <w:r w:rsidR="006E7ABA">
        <w:t>” “</w:t>
      </w:r>
      <w:r w:rsidR="00D949B8">
        <w:t>fail[] to address . . . whether RF radiation below the Commission</w:t>
      </w:r>
      <w:r w:rsidR="006E7ABA">
        <w:t>’</w:t>
      </w:r>
      <w:r w:rsidR="00D949B8">
        <w:t>s current limits can cause negative health effects,” and</w:t>
      </w:r>
      <w:r w:rsidR="003E6A74">
        <w:t xml:space="preserve"> </w:t>
      </w:r>
      <w:r w:rsidR="00F71C2F">
        <w:t xml:space="preserve">may have been </w:t>
      </w:r>
      <w:r w:rsidR="003E6A74">
        <w:t>“</w:t>
      </w:r>
      <w:r w:rsidR="00D949B8">
        <w:t>conducted at RF radiation levels below the Commission's current limits”</w:t>
      </w:r>
      <w:r w:rsidR="003B4C89">
        <w:t>)</w:t>
      </w:r>
      <w:r w:rsidR="001E55F1">
        <w:t>.</w:t>
      </w:r>
    </w:p>
  </w:footnote>
  <w:footnote w:id="22">
    <w:p w:rsidR="00A252E3" w14:paraId="00F65D65" w14:textId="06C00A07">
      <w:pPr>
        <w:pStyle w:val="FootnoteText"/>
      </w:pPr>
      <w:r>
        <w:rPr>
          <w:rStyle w:val="FootnoteReference"/>
        </w:rPr>
        <w:footnoteRef/>
      </w:r>
      <w:r>
        <w:t xml:space="preserve"> </w:t>
      </w:r>
      <w:r>
        <w:rPr>
          <w:i/>
          <w:iCs/>
        </w:rPr>
        <w:t>Id.</w:t>
      </w:r>
      <w:r>
        <w:t xml:space="preserve"> at </w:t>
      </w:r>
      <w:r w:rsidR="00CE2892">
        <w:t>908.</w:t>
      </w:r>
    </w:p>
  </w:footnote>
  <w:footnote w:id="23">
    <w:p w:rsidR="00CE2892" w:rsidRPr="00CE2892" w14:paraId="627CB733" w14:textId="0CC85494">
      <w:pPr>
        <w:pStyle w:val="FootnoteText"/>
      </w:pPr>
      <w:r>
        <w:rPr>
          <w:rStyle w:val="FootnoteReference"/>
        </w:rPr>
        <w:footnoteRef/>
      </w:r>
      <w:r>
        <w:t xml:space="preserve"> </w:t>
      </w:r>
      <w:r>
        <w:rPr>
          <w:i/>
          <w:iCs/>
        </w:rPr>
        <w:t>Id</w:t>
      </w:r>
      <w:r>
        <w:t xml:space="preserve">. at </w:t>
      </w:r>
      <w:r w:rsidR="00E4280F">
        <w:t>9</w:t>
      </w:r>
      <w:r w:rsidR="00F91F2B">
        <w:t>03-04</w:t>
      </w:r>
      <w:r w:rsidR="00E4280F">
        <w:t>.</w:t>
      </w:r>
      <w:r w:rsidR="00506AB4">
        <w:t xml:space="preserve">  </w:t>
      </w:r>
      <w:r w:rsidR="00574729">
        <w:t xml:space="preserve">The </w:t>
      </w:r>
      <w:r w:rsidRPr="00B013C8" w:rsidR="00574729">
        <w:t xml:space="preserve">panel </w:t>
      </w:r>
      <w:r w:rsidRPr="00B013C8" w:rsidR="003C67DB">
        <w:t xml:space="preserve">held that </w:t>
      </w:r>
      <w:r w:rsidRPr="00B013C8" w:rsidR="00AF08DB">
        <w:t xml:space="preserve">Commission’s </w:t>
      </w:r>
      <w:r w:rsidR="0021074E">
        <w:t xml:space="preserve">order </w:t>
      </w:r>
      <w:r w:rsidRPr="00B013C8" w:rsidR="0003341C">
        <w:t xml:space="preserve">disregarded </w:t>
      </w:r>
      <w:r w:rsidRPr="00B013C8" w:rsidR="00574729">
        <w:t>the</w:t>
      </w:r>
      <w:r w:rsidRPr="00B013C8" w:rsidR="0003341C">
        <w:t xml:space="preserve"> five studies</w:t>
      </w:r>
      <w:r w:rsidRPr="00B013C8" w:rsidR="00574729">
        <w:t xml:space="preserve"> </w:t>
      </w:r>
      <w:r w:rsidR="000B000F">
        <w:t>and</w:t>
      </w:r>
      <w:r w:rsidRPr="00B013C8" w:rsidR="00574729">
        <w:t xml:space="preserve"> </w:t>
      </w:r>
      <w:r w:rsidRPr="00B013C8" w:rsidR="00F641F4">
        <w:t>additional recor</w:t>
      </w:r>
      <w:r w:rsidRPr="00B013C8" w:rsidR="00AD6850">
        <w:t>d information</w:t>
      </w:r>
      <w:r w:rsidRPr="00B013C8" w:rsidR="003E5C01">
        <w:t>.</w:t>
      </w:r>
      <w:r w:rsidR="00B013C8">
        <w:t xml:space="preserve">  </w:t>
      </w:r>
      <w:r w:rsidRPr="0061447A" w:rsidR="0061447A">
        <w:rPr>
          <w:i/>
          <w:iCs/>
        </w:rPr>
        <w:t>E.g.</w:t>
      </w:r>
      <w:r w:rsidR="0061447A">
        <w:t xml:space="preserve">, </w:t>
      </w:r>
      <w:r w:rsidR="0061447A">
        <w:rPr>
          <w:i/>
          <w:iCs/>
        </w:rPr>
        <w:t>i</w:t>
      </w:r>
      <w:r w:rsidRPr="0061447A" w:rsidR="003E5C01">
        <w:rPr>
          <w:i/>
          <w:iCs/>
        </w:rPr>
        <w:t>d.</w:t>
      </w:r>
      <w:r w:rsidRPr="00B013C8" w:rsidR="003E5C01">
        <w:t xml:space="preserve"> </w:t>
      </w:r>
      <w:r w:rsidRPr="00B013C8" w:rsidR="00B612C1">
        <w:t xml:space="preserve">at 903-904 </w:t>
      </w:r>
      <w:r w:rsidRPr="00B013C8" w:rsidR="008F2F5C">
        <w:t>(</w:t>
      </w:r>
      <w:r w:rsidRPr="00B013C8" w:rsidR="00DF271C">
        <w:t xml:space="preserve">summarizing </w:t>
      </w:r>
      <w:r w:rsidRPr="00B013C8" w:rsidR="00220266">
        <w:t>th</w:t>
      </w:r>
      <w:r w:rsidRPr="00B013C8" w:rsidR="000A4AB4">
        <w:t xml:space="preserve">e </w:t>
      </w:r>
      <w:r w:rsidRPr="00B013C8" w:rsidR="00EB55D4">
        <w:t>Petitioners</w:t>
      </w:r>
      <w:r w:rsidR="00F807A9">
        <w:t>’</w:t>
      </w:r>
      <w:r w:rsidRPr="00B013C8" w:rsidR="000A4AB4">
        <w:t xml:space="preserve"> reliance on multiple studies and reports</w:t>
      </w:r>
      <w:r w:rsidR="0061447A">
        <w:t xml:space="preserve"> and</w:t>
      </w:r>
      <w:r w:rsidRPr="00B013C8" w:rsidR="005B3836">
        <w:t xml:space="preserve"> </w:t>
      </w:r>
      <w:r w:rsidRPr="00B013C8" w:rsidR="00EB55D4">
        <w:t>comments submitted by individuals</w:t>
      </w:r>
      <w:r w:rsidRPr="00B013C8" w:rsidR="00B612C1">
        <w:t>)</w:t>
      </w:r>
      <w:r w:rsidR="006A554A">
        <w:t xml:space="preserve">; </w:t>
      </w:r>
      <w:r w:rsidRPr="00A03C73" w:rsidR="006A554A">
        <w:rPr>
          <w:i/>
          <w:iCs/>
        </w:rPr>
        <w:t>id.</w:t>
      </w:r>
      <w:r w:rsidR="006A554A">
        <w:t xml:space="preserve"> at</w:t>
      </w:r>
      <w:r w:rsidRPr="00B013C8" w:rsidR="00B612C1">
        <w:t xml:space="preserve"> 910</w:t>
      </w:r>
      <w:r w:rsidRPr="00B013C8" w:rsidR="00B013C8">
        <w:t xml:space="preserve"> (referencing additional record information)</w:t>
      </w:r>
      <w:r w:rsidRPr="00B013C8" w:rsidR="00B612C1">
        <w:t>.</w:t>
      </w:r>
    </w:p>
  </w:footnote>
  <w:footnote w:id="24">
    <w:p w:rsidR="00D94DA2" w:rsidP="00D94DA2" w14:paraId="30F0F36C" w14:textId="3924A353">
      <w:pPr>
        <w:pStyle w:val="FootnoteText"/>
      </w:pPr>
      <w:r>
        <w:rPr>
          <w:rStyle w:val="FootnoteReference"/>
        </w:rPr>
        <w:footnoteRef/>
      </w:r>
      <w:r>
        <w:t xml:space="preserve"> </w:t>
      </w:r>
      <w:r>
        <w:rPr>
          <w:i/>
          <w:iCs/>
        </w:rPr>
        <w:t>Id</w:t>
      </w:r>
      <w:r>
        <w:t xml:space="preserve">. at 916; </w:t>
      </w:r>
      <w:r w:rsidRPr="00003CA1">
        <w:rPr>
          <w:i/>
          <w:iCs/>
        </w:rPr>
        <w:t xml:space="preserve">see also </w:t>
      </w:r>
      <w:r>
        <w:rPr>
          <w:i/>
          <w:iCs/>
        </w:rPr>
        <w:t>i</w:t>
      </w:r>
      <w:r w:rsidRPr="0061447A">
        <w:rPr>
          <w:i/>
          <w:iCs/>
        </w:rPr>
        <w:t>d.</w:t>
      </w:r>
      <w:r w:rsidRPr="00B013C8">
        <w:t xml:space="preserve"> at 903-904</w:t>
      </w:r>
      <w:r>
        <w:t xml:space="preserve"> and 910.</w:t>
      </w:r>
    </w:p>
  </w:footnote>
  <w:footnote w:id="25">
    <w:p w:rsidR="00E95C7A" w:rsidP="00A662A1" w14:paraId="55E333F2" w14:textId="112B3D4B">
      <w:pPr>
        <w:pStyle w:val="FootnoteText"/>
      </w:pPr>
      <w:r>
        <w:rPr>
          <w:rStyle w:val="FootnoteReference"/>
        </w:rPr>
        <w:footnoteRef/>
      </w:r>
      <w:r>
        <w:t xml:space="preserve"> </w:t>
      </w:r>
      <w:r w:rsidR="00F94A0F">
        <w:rPr>
          <w:i/>
          <w:iCs/>
        </w:rPr>
        <w:t>Id</w:t>
      </w:r>
      <w:r w:rsidR="00F94A0F">
        <w:t>. at 915</w:t>
      </w:r>
      <w:r w:rsidR="00DF5ACD">
        <w:t xml:space="preserve"> </w:t>
      </w:r>
      <w:r w:rsidR="002B2C26">
        <w:t xml:space="preserve">(Henderson, K., dissenting in part) </w:t>
      </w:r>
      <w:r w:rsidR="00DF5ACD">
        <w:t>(</w:t>
      </w:r>
      <w:r w:rsidR="00A662A1">
        <w:t xml:space="preserve">observing that </w:t>
      </w:r>
      <w:r w:rsidR="001D52A6">
        <w:t>t</w:t>
      </w:r>
      <w:r w:rsidR="00A662A1">
        <w:t xml:space="preserve">he Foerster </w:t>
      </w:r>
      <w:r w:rsidR="00F71C2F">
        <w:t xml:space="preserve">article </w:t>
      </w:r>
      <w:r w:rsidR="00A662A1">
        <w:t>concludes “[o]</w:t>
      </w:r>
      <w:r w:rsidR="00A662A1">
        <w:t>ur</w:t>
      </w:r>
      <w:r w:rsidR="00A662A1">
        <w:t xml:space="preserve"> findings </w:t>
      </w:r>
      <w:r w:rsidRPr="002B68E4" w:rsidR="00A662A1">
        <w:rPr>
          <w:i/>
          <w:iCs/>
        </w:rPr>
        <w:t>do not provide conclusive evidence</w:t>
      </w:r>
      <w:r w:rsidR="00A662A1">
        <w:t xml:space="preserve"> of causal effects</w:t>
      </w:r>
      <w:r w:rsidR="001D52A6">
        <w:t xml:space="preserve"> </w:t>
      </w:r>
      <w:r w:rsidR="00A662A1">
        <w:t xml:space="preserve">and should be </w:t>
      </w:r>
      <w:r w:rsidRPr="002B68E4" w:rsidR="00A662A1">
        <w:rPr>
          <w:i/>
          <w:iCs/>
        </w:rPr>
        <w:t>interpreted with caution</w:t>
      </w:r>
      <w:r w:rsidR="00A662A1">
        <w:t xml:space="preserve"> until confirmed in other population.”)</w:t>
      </w:r>
      <w:r w:rsidR="001D52A6">
        <w:t xml:space="preserve"> </w:t>
      </w:r>
      <w:r w:rsidR="005578C0">
        <w:t>(internal citation omitted).</w:t>
      </w:r>
    </w:p>
  </w:footnote>
  <w:footnote w:id="26">
    <w:p w:rsidR="00E95C7A" w:rsidP="00D33DCD" w14:paraId="5A52051F" w14:textId="25FF9C72">
      <w:pPr>
        <w:pStyle w:val="FootnoteText"/>
      </w:pPr>
      <w:r>
        <w:rPr>
          <w:rStyle w:val="FootnoteReference"/>
        </w:rPr>
        <w:footnoteRef/>
      </w:r>
      <w:r>
        <w:t xml:space="preserve"> </w:t>
      </w:r>
      <w:r w:rsidR="0030459B">
        <w:rPr>
          <w:i/>
          <w:iCs/>
        </w:rPr>
        <w:t>Id</w:t>
      </w:r>
      <w:r w:rsidR="0030459B">
        <w:t>.</w:t>
      </w:r>
      <w:r w:rsidRPr="008D0AAC" w:rsidR="008D0AAC">
        <w:t xml:space="preserve"> </w:t>
      </w:r>
      <w:r w:rsidR="008D0AAC">
        <w:t>(Henderson, K., dissenting in part) (</w:t>
      </w:r>
      <w:r w:rsidR="00D33DCD">
        <w:t>“The Lai article provides a similarly murky picture of the current science</w:t>
      </w:r>
      <w:r w:rsidR="008D0AAC">
        <w:t>”</w:t>
      </w:r>
      <w:r w:rsidR="009C5903">
        <w:t xml:space="preserve"> as did the </w:t>
      </w:r>
      <w:r w:rsidR="00124780">
        <w:t>Foerster article</w:t>
      </w:r>
      <w:r w:rsidR="008D0AAC">
        <w:t>)</w:t>
      </w:r>
      <w:r w:rsidR="00777705">
        <w:t>.</w:t>
      </w:r>
      <w:r w:rsidR="008D0AAC">
        <w:t xml:space="preserve"> </w:t>
      </w:r>
    </w:p>
  </w:footnote>
  <w:footnote w:id="27">
    <w:p w:rsidR="0030459B" w:rsidP="00E350F8" w14:paraId="490306EC" w14:textId="3C27CB18">
      <w:pPr>
        <w:pStyle w:val="FootnoteText"/>
      </w:pPr>
      <w:r>
        <w:rPr>
          <w:rStyle w:val="FootnoteReference"/>
        </w:rPr>
        <w:footnoteRef/>
      </w:r>
      <w:r>
        <w:t xml:space="preserve"> </w:t>
      </w:r>
      <w:r w:rsidR="005A2F40">
        <w:rPr>
          <w:i/>
          <w:iCs/>
        </w:rPr>
        <w:t>Id</w:t>
      </w:r>
      <w:r w:rsidR="005A2F40">
        <w:t>. at 916 (Henderson, K., dissenting in part) (</w:t>
      </w:r>
      <w:r w:rsidR="00E350F8">
        <w:t>observing that “it is uncertain how many, if any, of the referenced peer-reviewed studies were conducted at RF radiation levels below the Commission's current limits”</w:t>
      </w:r>
      <w:r w:rsidR="005A2F40">
        <w:t>)</w:t>
      </w:r>
      <w:r w:rsidR="00E350F8">
        <w:t>.</w:t>
      </w:r>
    </w:p>
  </w:footnote>
  <w:footnote w:id="28">
    <w:p w:rsidR="00E95C7A" w14:paraId="2DF3F87F" w14:textId="45D56FA0">
      <w:pPr>
        <w:pStyle w:val="FootnoteText"/>
      </w:pPr>
      <w:r>
        <w:rPr>
          <w:rStyle w:val="FootnoteReference"/>
        </w:rPr>
        <w:footnoteRef/>
      </w:r>
      <w:r>
        <w:t xml:space="preserve"> </w:t>
      </w:r>
      <w:r w:rsidR="009B3787">
        <w:rPr>
          <w:i/>
          <w:iCs/>
        </w:rPr>
        <w:t>Id</w:t>
      </w:r>
      <w:r w:rsidR="009B3787">
        <w:t>. at 915 n.2.</w:t>
      </w:r>
    </w:p>
  </w:footnote>
  <w:footnote w:id="29">
    <w:p w:rsidR="00E95C7A" w14:paraId="7AF856C5" w14:textId="18873F5D">
      <w:pPr>
        <w:pStyle w:val="FootnoteText"/>
      </w:pPr>
      <w:r>
        <w:rPr>
          <w:rStyle w:val="FootnoteReference"/>
        </w:rPr>
        <w:footnoteRef/>
      </w:r>
      <w:r>
        <w:t xml:space="preserve"> </w:t>
      </w:r>
      <w:r w:rsidR="003F35A5">
        <w:rPr>
          <w:i/>
          <w:iCs/>
        </w:rPr>
        <w:t>Id</w:t>
      </w:r>
      <w:r w:rsidR="003F35A5">
        <w:t>.</w:t>
      </w:r>
    </w:p>
  </w:footnote>
  <w:footnote w:id="30">
    <w:p w:rsidR="00E95C7A" w14:paraId="0063976C" w14:textId="199DBA74">
      <w:pPr>
        <w:pStyle w:val="FootnoteText"/>
      </w:pPr>
      <w:r>
        <w:rPr>
          <w:rStyle w:val="FootnoteReference"/>
        </w:rPr>
        <w:footnoteRef/>
      </w:r>
      <w:r>
        <w:t xml:space="preserve"> </w:t>
      </w:r>
      <w:r w:rsidR="00E84E45">
        <w:rPr>
          <w:i/>
          <w:iCs/>
        </w:rPr>
        <w:t>Id</w:t>
      </w:r>
      <w:r w:rsidR="00E84E45">
        <w:t>. at 916 n.3.</w:t>
      </w:r>
    </w:p>
  </w:footnote>
  <w:footnote w:id="31">
    <w:p w:rsidR="0018145B" w:rsidRPr="0018145B" w14:paraId="36F33988" w14:textId="058586EA">
      <w:pPr>
        <w:pStyle w:val="FootnoteText"/>
      </w:pPr>
      <w:r>
        <w:rPr>
          <w:rStyle w:val="FootnoteReference"/>
        </w:rPr>
        <w:footnoteRef/>
      </w:r>
      <w:r>
        <w:t xml:space="preserve"> </w:t>
      </w:r>
      <w:r>
        <w:rPr>
          <w:i/>
          <w:iCs/>
        </w:rPr>
        <w:t>Id.</w:t>
      </w:r>
      <w:r>
        <w:t xml:space="preserve"> at </w:t>
      </w:r>
      <w:r w:rsidR="00FA0788">
        <w:t>909-10.</w:t>
      </w:r>
    </w:p>
  </w:footnote>
  <w:footnote w:id="32">
    <w:p w:rsidR="001E55F1" w:rsidRPr="002B68E4" w:rsidP="006412F6" w14:paraId="2AD0BD69" w14:textId="656E4567">
      <w:pPr>
        <w:pStyle w:val="FootnoteText"/>
        <w:rPr>
          <w:color w:val="000000" w:themeColor="text1"/>
        </w:rPr>
      </w:pPr>
      <w:r>
        <w:rPr>
          <w:rStyle w:val="FootnoteReference"/>
        </w:rPr>
        <w:footnoteRef/>
      </w:r>
      <w:r>
        <w:t xml:space="preserve"> </w:t>
      </w:r>
      <w:r>
        <w:rPr>
          <w:i/>
          <w:iCs/>
        </w:rPr>
        <w:t>Id</w:t>
      </w:r>
      <w:r>
        <w:t>. at 91</w:t>
      </w:r>
      <w:r w:rsidR="00E4050A">
        <w:t>6-17</w:t>
      </w:r>
      <w:r>
        <w:t xml:space="preserve"> (</w:t>
      </w:r>
      <w:r w:rsidRPr="001E55F1">
        <w:t xml:space="preserve">Henderson, K., dissenting in part) (identifying substantive and </w:t>
      </w:r>
      <w:r w:rsidR="006412F6">
        <w:t>procedural</w:t>
      </w:r>
      <w:r w:rsidRPr="001E55F1">
        <w:t xml:space="preserve"> shortcomings related to the </w:t>
      </w:r>
      <w:r w:rsidR="00230BD6">
        <w:t xml:space="preserve">petitioners’ reliance on </w:t>
      </w:r>
      <w:r w:rsidRPr="001E55F1">
        <w:t xml:space="preserve">the </w:t>
      </w:r>
      <w:r w:rsidRPr="002B68E4">
        <w:rPr>
          <w:color w:val="000000" w:themeColor="text1"/>
        </w:rPr>
        <w:t>Department of Interior’s letter</w:t>
      </w:r>
      <w:r w:rsidR="006412F6">
        <w:rPr>
          <w:color w:val="000000" w:themeColor="text1"/>
        </w:rPr>
        <w:t>, noting that the letter itself concedes that “</w:t>
      </w:r>
      <w:r w:rsidRPr="006412F6" w:rsidR="006412F6">
        <w:rPr>
          <w:color w:val="000000" w:themeColor="text1"/>
        </w:rPr>
        <w:t>no independent, third-party field studies have been conducted in North</w:t>
      </w:r>
      <w:r w:rsidR="006412F6">
        <w:rPr>
          <w:color w:val="000000" w:themeColor="text1"/>
        </w:rPr>
        <w:t xml:space="preserve"> </w:t>
      </w:r>
      <w:r w:rsidRPr="006412F6" w:rsidR="006412F6">
        <w:rPr>
          <w:color w:val="000000" w:themeColor="text1"/>
        </w:rPr>
        <w:t>America on impacts of tower electromagnetic radiation on</w:t>
      </w:r>
      <w:r w:rsidR="006412F6">
        <w:rPr>
          <w:color w:val="000000" w:themeColor="text1"/>
        </w:rPr>
        <w:t xml:space="preserve"> </w:t>
      </w:r>
      <w:r w:rsidRPr="006412F6" w:rsidR="006412F6">
        <w:rPr>
          <w:color w:val="000000" w:themeColor="text1"/>
        </w:rPr>
        <w:t>migratory birds</w:t>
      </w:r>
      <w:r w:rsidR="006412F6">
        <w:rPr>
          <w:color w:val="000000" w:themeColor="text1"/>
        </w:rPr>
        <w:t>”</w:t>
      </w:r>
      <w:r w:rsidR="00230BD6">
        <w:rPr>
          <w:color w:val="000000" w:themeColor="text1"/>
        </w:rPr>
        <w:t>) (internal citation omitted).</w:t>
      </w:r>
    </w:p>
  </w:footnote>
  <w:footnote w:id="33">
    <w:p w:rsidR="00FC4659" w:rsidRPr="0002666E" w14:paraId="6087F7C8" w14:textId="52696DAA">
      <w:pPr>
        <w:pStyle w:val="FootnoteText"/>
        <w:rPr>
          <w:i/>
        </w:rPr>
      </w:pPr>
      <w:r>
        <w:rPr>
          <w:rStyle w:val="FootnoteReference"/>
        </w:rPr>
        <w:footnoteRef/>
      </w:r>
      <w:r>
        <w:t xml:space="preserve"> </w:t>
      </w:r>
      <w:r w:rsidRPr="0002666E" w:rsidR="00BC34EF">
        <w:rPr>
          <w:i/>
        </w:rPr>
        <w:t>See, e.g</w:t>
      </w:r>
      <w:r w:rsidR="00BC34EF">
        <w:t>.,</w:t>
      </w:r>
      <w:r w:rsidR="00F95DD3">
        <w:t xml:space="preserve"> </w:t>
      </w:r>
      <w:r w:rsidR="0053432E">
        <w:rPr>
          <w:i/>
          <w:iCs/>
        </w:rPr>
        <w:t xml:space="preserve">Restoring </w:t>
      </w:r>
      <w:r w:rsidR="001E4282">
        <w:rPr>
          <w:i/>
          <w:iCs/>
        </w:rPr>
        <w:t>Internet Freedom</w:t>
      </w:r>
      <w:r w:rsidR="001E4282">
        <w:t>, WC Docket No. 17-10</w:t>
      </w:r>
      <w:r w:rsidR="00282FBA">
        <w:t>8</w:t>
      </w:r>
      <w:r w:rsidR="001E4282">
        <w:t>, Declaratory Ruling, Report and Order, and Order</w:t>
      </w:r>
      <w:r w:rsidR="00F92275">
        <w:t>, 33 FCC Rcd. 311</w:t>
      </w:r>
      <w:r w:rsidR="001B1B34">
        <w:t>,</w:t>
      </w:r>
      <w:r w:rsidR="00F92275">
        <w:t xml:space="preserve"> </w:t>
      </w:r>
      <w:r w:rsidR="003736F2">
        <w:t>503-</w:t>
      </w:r>
      <w:r w:rsidR="003C5631">
        <w:t>0</w:t>
      </w:r>
      <w:r w:rsidR="003736F2">
        <w:t>4, paras. 344-345</w:t>
      </w:r>
      <w:r w:rsidR="00A22AE2">
        <w:t xml:space="preserve"> (2018)</w:t>
      </w:r>
      <w:r w:rsidR="000624EC">
        <w:t xml:space="preserve">, </w:t>
      </w:r>
      <w:r w:rsidRPr="001A7D82" w:rsidR="001A7D82">
        <w:rPr>
          <w:i/>
          <w:iCs/>
        </w:rPr>
        <w:t>aff'd in part, vacated in part, and remanded sub nom.</w:t>
      </w:r>
      <w:r w:rsidRPr="001A7D82" w:rsidR="001A7D82">
        <w:t xml:space="preserve"> </w:t>
      </w:r>
      <w:r w:rsidRPr="00F922E3" w:rsidR="000624EC">
        <w:rPr>
          <w:i/>
          <w:iCs/>
        </w:rPr>
        <w:t>Mozilla Corp. v. FCC</w:t>
      </w:r>
      <w:r w:rsidRPr="008B1DEE" w:rsidR="000624EC">
        <w:t>, 940 F.3d</w:t>
      </w:r>
      <w:r w:rsidRPr="000624EC" w:rsidR="000624EC">
        <w:t xml:space="preserve"> 1 (D.C. Cir. 2019)</w:t>
      </w:r>
      <w:r w:rsidR="000624EC">
        <w:t>.</w:t>
      </w:r>
    </w:p>
  </w:footnote>
  <w:footnote w:id="34">
    <w:p w:rsidR="00740E44" w:rsidRPr="00587CCC" w:rsidP="00740E44" w14:paraId="646DA31E" w14:textId="1BCD78A1">
      <w:pPr>
        <w:pStyle w:val="FootnoteText"/>
      </w:pPr>
      <w:r w:rsidRPr="00587CCC">
        <w:rPr>
          <w:rStyle w:val="FootnoteReference"/>
          <w:sz w:val="20"/>
        </w:rPr>
        <w:footnoteRef/>
      </w:r>
      <w:r w:rsidRPr="00587CCC">
        <w:t xml:space="preserve"> </w:t>
      </w:r>
      <w:r w:rsidRPr="00587CCC">
        <w:t>Brzozek</w:t>
      </w:r>
      <w:r w:rsidR="00305A12">
        <w:t xml:space="preserve"> et al.</w:t>
      </w:r>
      <w:r w:rsidRPr="00587CCC">
        <w:t xml:space="preserve">, </w:t>
      </w:r>
      <w:r w:rsidRPr="0002666E">
        <w:rPr>
          <w:i/>
        </w:rPr>
        <w:t xml:space="preserve">Investigating the </w:t>
      </w:r>
      <w:r w:rsidRPr="0002666E" w:rsidR="00C32F55">
        <w:rPr>
          <w:i/>
        </w:rPr>
        <w:t>I</w:t>
      </w:r>
      <w:r w:rsidRPr="0002666E">
        <w:rPr>
          <w:i/>
        </w:rPr>
        <w:t xml:space="preserve">mpact of </w:t>
      </w:r>
      <w:r w:rsidRPr="0002666E" w:rsidR="00C32F55">
        <w:rPr>
          <w:i/>
        </w:rPr>
        <w:t>A</w:t>
      </w:r>
      <w:r w:rsidRPr="0002666E">
        <w:rPr>
          <w:i/>
        </w:rPr>
        <w:t xml:space="preserve">nthropogenic </w:t>
      </w:r>
      <w:r w:rsidRPr="0002666E" w:rsidR="00C32F55">
        <w:rPr>
          <w:i/>
        </w:rPr>
        <w:t>R</w:t>
      </w:r>
      <w:r w:rsidRPr="0002666E">
        <w:rPr>
          <w:i/>
        </w:rPr>
        <w:t xml:space="preserve">adiofrequency </w:t>
      </w:r>
      <w:r w:rsidRPr="0002666E" w:rsidR="00C32F55">
        <w:rPr>
          <w:i/>
        </w:rPr>
        <w:t>E</w:t>
      </w:r>
      <w:r w:rsidRPr="0002666E">
        <w:rPr>
          <w:i/>
        </w:rPr>
        <w:t xml:space="preserve">lectromagnetic </w:t>
      </w:r>
      <w:r w:rsidRPr="0002666E" w:rsidR="00C32F55">
        <w:rPr>
          <w:i/>
        </w:rPr>
        <w:t>F</w:t>
      </w:r>
      <w:r w:rsidRPr="0002666E">
        <w:rPr>
          <w:i/>
        </w:rPr>
        <w:t xml:space="preserve">ields on </w:t>
      </w:r>
      <w:r w:rsidRPr="0002666E" w:rsidR="00C32F55">
        <w:rPr>
          <w:i/>
        </w:rPr>
        <w:t>A</w:t>
      </w:r>
      <w:r w:rsidRPr="0002666E">
        <w:rPr>
          <w:i/>
        </w:rPr>
        <w:t xml:space="preserve">nimals and </w:t>
      </w:r>
      <w:r w:rsidRPr="0002666E" w:rsidR="00C32F55">
        <w:rPr>
          <w:i/>
        </w:rPr>
        <w:t>P</w:t>
      </w:r>
      <w:r w:rsidRPr="0002666E">
        <w:rPr>
          <w:i/>
        </w:rPr>
        <w:t xml:space="preserve">lants in the </w:t>
      </w:r>
      <w:r w:rsidRPr="0002666E" w:rsidR="00C32F55">
        <w:rPr>
          <w:i/>
        </w:rPr>
        <w:t>E</w:t>
      </w:r>
      <w:r w:rsidRPr="0002666E">
        <w:rPr>
          <w:i/>
        </w:rPr>
        <w:t xml:space="preserve">nvironment: </w:t>
      </w:r>
      <w:r w:rsidRPr="0002666E" w:rsidR="00C82C43">
        <w:rPr>
          <w:i/>
        </w:rPr>
        <w:t>A</w:t>
      </w:r>
      <w:r w:rsidRPr="0002666E">
        <w:rPr>
          <w:i/>
        </w:rPr>
        <w:t xml:space="preserve">nalysis from a </w:t>
      </w:r>
      <w:r w:rsidRPr="0002666E" w:rsidR="00C82C43">
        <w:rPr>
          <w:i/>
        </w:rPr>
        <w:t>S</w:t>
      </w:r>
      <w:r w:rsidRPr="0002666E">
        <w:rPr>
          <w:i/>
        </w:rPr>
        <w:t xml:space="preserve">ystematic </w:t>
      </w:r>
      <w:r w:rsidRPr="0002666E" w:rsidR="00C82C43">
        <w:rPr>
          <w:i/>
        </w:rPr>
        <w:t>M</w:t>
      </w:r>
      <w:r w:rsidRPr="0002666E">
        <w:rPr>
          <w:i/>
        </w:rPr>
        <w:t>ap</w:t>
      </w:r>
      <w:r w:rsidR="00743C74">
        <w:t>,</w:t>
      </w:r>
      <w:r w:rsidRPr="00587CCC">
        <w:t xml:space="preserve"> </w:t>
      </w:r>
      <w:r w:rsidR="00CB0E82">
        <w:t xml:space="preserve">81 </w:t>
      </w:r>
      <w:r w:rsidRPr="00587CCC">
        <w:t>Int</w:t>
      </w:r>
      <w:r w:rsidR="00CB0E82">
        <w:t>’</w:t>
      </w:r>
      <w:r w:rsidRPr="00587CCC">
        <w:t>l J</w:t>
      </w:r>
      <w:r w:rsidR="0090642E">
        <w:t>.</w:t>
      </w:r>
      <w:r w:rsidRPr="00587CCC">
        <w:t xml:space="preserve"> of En</w:t>
      </w:r>
      <w:r w:rsidR="00500C1C">
        <w:t>v’t</w:t>
      </w:r>
      <w:r w:rsidRPr="00587CCC">
        <w:t xml:space="preserve"> Stud</w:t>
      </w:r>
      <w:r w:rsidR="00743C74">
        <w:t>.</w:t>
      </w:r>
      <w:r w:rsidRPr="00587CCC">
        <w:t xml:space="preserve"> 2343</w:t>
      </w:r>
      <w:r w:rsidR="00660556">
        <w:t xml:space="preserve"> (2024),</w:t>
      </w:r>
      <w:r w:rsidRPr="00587CCC">
        <w:t xml:space="preserve"> </w:t>
      </w:r>
      <w:hyperlink r:id="rId1" w:history="1">
        <w:r w:rsidRPr="00587CCC">
          <w:rPr>
            <w:rStyle w:val="Hyperlink"/>
          </w:rPr>
          <w:t>https://doi.org/10.1080/00207233.2024.2375861</w:t>
        </w:r>
      </w:hyperlink>
      <w:r w:rsidRPr="00587CCC">
        <w:t>.  Summarized on the ARPANSA website</w:t>
      </w:r>
      <w:r w:rsidR="00632C8E">
        <w:t xml:space="preserve">, </w:t>
      </w:r>
      <w:r w:rsidR="00482E93">
        <w:rPr>
          <w:i/>
          <w:iCs/>
        </w:rPr>
        <w:t xml:space="preserve">Good Quality Research Shows No Environmental Effects </w:t>
      </w:r>
      <w:r w:rsidR="00C82C43">
        <w:rPr>
          <w:i/>
          <w:iCs/>
        </w:rPr>
        <w:t>f</w:t>
      </w:r>
      <w:r w:rsidR="00482E93">
        <w:rPr>
          <w:i/>
          <w:iCs/>
        </w:rPr>
        <w:t>rom Radio Waves</w:t>
      </w:r>
      <w:r w:rsidR="00482E93">
        <w:t xml:space="preserve"> (Aug. 22, 2024)</w:t>
      </w:r>
      <w:r w:rsidR="002F2FEE">
        <w:t>,</w:t>
      </w:r>
      <w:r w:rsidRPr="00587CCC">
        <w:t xml:space="preserve"> </w:t>
      </w:r>
      <w:hyperlink r:id="rId2" w:history="1">
        <w:r w:rsidRPr="00587CCC">
          <w:rPr>
            <w:rStyle w:val="Hyperlink"/>
          </w:rPr>
          <w:t>https://www.arpansa.gov.au/good-quality-research-shows-no-environmental-effects-radio-waves</w:t>
        </w:r>
      </w:hyperlink>
      <w:r w:rsidR="002F2FEE">
        <w:t>.</w:t>
      </w:r>
    </w:p>
  </w:footnote>
  <w:footnote w:id="35">
    <w:p w:rsidR="00740E44" w:rsidRPr="00587CCC" w:rsidP="00740E44" w14:paraId="5D17AB9C" w14:textId="6579877D">
      <w:pPr>
        <w:autoSpaceDE w:val="0"/>
        <w:autoSpaceDN w:val="0"/>
        <w:adjustRightInd w:val="0"/>
        <w:spacing w:after="120" w:line="240" w:lineRule="auto"/>
        <w:rPr>
          <w:rFonts w:ascii="Times New Roman" w:hAnsi="Times New Roman" w:cs="Times New Roman"/>
          <w:i/>
          <w:color w:val="000000" w:themeColor="text1"/>
          <w:sz w:val="20"/>
          <w:szCs w:val="20"/>
        </w:rPr>
      </w:pPr>
      <w:r w:rsidRPr="00587CCC">
        <w:rPr>
          <w:rStyle w:val="FootnoteReference"/>
          <w:rFonts w:cs="Times New Roman"/>
          <w:sz w:val="20"/>
          <w:szCs w:val="20"/>
        </w:rPr>
        <w:footnoteRef/>
      </w:r>
      <w:r w:rsidRPr="00587CCC">
        <w:rPr>
          <w:rFonts w:ascii="Times New Roman" w:hAnsi="Times New Roman" w:cs="Times New Roman"/>
          <w:sz w:val="20"/>
          <w:szCs w:val="20"/>
        </w:rPr>
        <w:t xml:space="preserve"> </w:t>
      </w:r>
      <w:r w:rsidRPr="00587CCC">
        <w:rPr>
          <w:rFonts w:ascii="Times New Roman" w:hAnsi="Times New Roman" w:cs="Times New Roman"/>
          <w:color w:val="000000" w:themeColor="text1"/>
          <w:sz w:val="20"/>
          <w:szCs w:val="20"/>
        </w:rPr>
        <w:t xml:space="preserve">ICNIRP, </w:t>
      </w:r>
      <w:r w:rsidR="00992A30">
        <w:rPr>
          <w:rFonts w:ascii="Times New Roman" w:hAnsi="Times New Roman" w:cs="Times New Roman"/>
          <w:i/>
          <w:color w:val="000000" w:themeColor="text1"/>
          <w:sz w:val="20"/>
          <w:szCs w:val="20"/>
        </w:rPr>
        <w:t>Working Groups</w:t>
      </w:r>
      <w:r w:rsidRPr="00587CCC">
        <w:rPr>
          <w:rFonts w:ascii="Times New Roman" w:hAnsi="Times New Roman" w:cs="Times New Roman"/>
          <w:color w:val="000000" w:themeColor="text1"/>
          <w:sz w:val="20"/>
          <w:szCs w:val="20"/>
        </w:rPr>
        <w:t xml:space="preserve"> </w:t>
      </w:r>
      <w:r w:rsidR="00133AB9">
        <w:rPr>
          <w:rFonts w:ascii="Times New Roman" w:hAnsi="Times New Roman" w:cs="Times New Roman"/>
          <w:color w:val="000000" w:themeColor="text1"/>
          <w:sz w:val="20"/>
          <w:szCs w:val="20"/>
        </w:rPr>
        <w:t>(</w:t>
      </w:r>
      <w:r w:rsidR="00F714CE">
        <w:rPr>
          <w:rFonts w:ascii="Times New Roman" w:hAnsi="Times New Roman" w:cs="Times New Roman"/>
          <w:color w:val="000000" w:themeColor="text1"/>
          <w:sz w:val="20"/>
          <w:szCs w:val="20"/>
        </w:rPr>
        <w:t xml:space="preserve">last visited </w:t>
      </w:r>
      <w:r w:rsidR="00444145">
        <w:rPr>
          <w:rFonts w:ascii="Times New Roman" w:hAnsi="Times New Roman" w:cs="Times New Roman"/>
          <w:color w:val="000000" w:themeColor="text1"/>
          <w:sz w:val="20"/>
          <w:szCs w:val="20"/>
        </w:rPr>
        <w:t>Aug. 31, 2026),</w:t>
      </w:r>
      <w:r w:rsidRPr="00587CCC">
        <w:rPr>
          <w:rFonts w:ascii="Times New Roman" w:hAnsi="Times New Roman" w:cs="Times New Roman"/>
          <w:color w:val="000000" w:themeColor="text1"/>
          <w:sz w:val="20"/>
          <w:szCs w:val="20"/>
        </w:rPr>
        <w:t xml:space="preserve"> </w:t>
      </w:r>
      <w:hyperlink r:id="rId3" w:history="1">
        <w:r w:rsidRPr="00587CCC">
          <w:rPr>
            <w:rStyle w:val="Hyperlink"/>
            <w:rFonts w:ascii="Times New Roman" w:hAnsi="Times New Roman" w:cs="Times New Roman"/>
            <w:sz w:val="20"/>
            <w:szCs w:val="20"/>
          </w:rPr>
          <w:t>https://www.icnirp.org/en/about-icnirp/working-groups/index.html</w:t>
        </w:r>
      </w:hyperlink>
      <w:r w:rsidRPr="00587CCC">
        <w:rPr>
          <w:rFonts w:ascii="Times New Roman" w:hAnsi="Times New Roman" w:cs="Times New Roman"/>
          <w:color w:val="000000" w:themeColor="text1"/>
          <w:sz w:val="20"/>
          <w:szCs w:val="20"/>
        </w:rPr>
        <w:t>.</w:t>
      </w:r>
    </w:p>
  </w:footnote>
  <w:footnote w:id="36">
    <w:p w:rsidR="00740E44" w:rsidRPr="00587CCC" w:rsidP="00740E44" w14:paraId="701F6738" w14:textId="77777777">
      <w:pPr>
        <w:pStyle w:val="FootnoteText"/>
      </w:pPr>
      <w:r w:rsidRPr="00587CCC">
        <w:rPr>
          <w:rStyle w:val="FootnoteReference"/>
          <w:sz w:val="20"/>
        </w:rPr>
        <w:footnoteRef/>
      </w:r>
      <w:r w:rsidRPr="00587CCC">
        <w:t xml:space="preserve"> </w:t>
      </w:r>
      <w:r w:rsidRPr="00587CCC">
        <w:rPr>
          <w:i/>
          <w:iCs/>
        </w:rPr>
        <w:t xml:space="preserve">See </w:t>
      </w:r>
      <w:r w:rsidRPr="00587CCC">
        <w:t>47 CFR 2.1093(d)(2).  Evaluation of compliance for portable devices can be demonstrated by either laboratory measurement techniques or by computational modeling.  Guidance regarding applicable measurement techniques can be found in the OET Laboratory Division KDB.  The staff guidance provided in the KDB does not necessarily represent the only acceptable methods for measuring RF exposure or RF emissions, and is not binding on the Commission or any interested party.  Current RF exposure procedures and equipment authorization policies for mobile and portable devices are published in KDB 447498.</w:t>
      </w:r>
    </w:p>
  </w:footnote>
  <w:footnote w:id="37">
    <w:p w:rsidR="000C52CD" w:rsidRPr="00587CCC" w:rsidP="000C52CD" w14:paraId="0F372176" w14:textId="1B9CF04A">
      <w:pPr>
        <w:pStyle w:val="FootnoteText"/>
      </w:pPr>
      <w:r w:rsidRPr="00587CCC">
        <w:rPr>
          <w:rStyle w:val="FootnoteReference"/>
          <w:sz w:val="20"/>
        </w:rPr>
        <w:footnoteRef/>
      </w:r>
      <w:r w:rsidRPr="00587CCC">
        <w:t xml:space="preserve"> </w:t>
      </w:r>
      <w:bookmarkStart w:id="2" w:name="_Hlk172619294"/>
      <w:r w:rsidRPr="00587CCC">
        <w:rPr>
          <w:i/>
          <w:iCs/>
          <w:color w:val="000000" w:themeColor="text1"/>
        </w:rPr>
        <w:t xml:space="preserve">2019 </w:t>
      </w:r>
      <w:r w:rsidRPr="00587CCC">
        <w:rPr>
          <w:i/>
          <w:iCs/>
          <w:noProof/>
        </w:rPr>
        <w:t xml:space="preserve">Resolution of Notice of Inquiry, Second Report and Order, </w:t>
      </w:r>
      <w:r w:rsidRPr="00587CCC">
        <w:rPr>
          <w:i/>
          <w:iCs/>
          <w:color w:val="000000" w:themeColor="text1"/>
        </w:rPr>
        <w:t>and NPRM</w:t>
      </w:r>
      <w:bookmarkEnd w:id="2"/>
      <w:r w:rsidRPr="00587CCC">
        <w:rPr>
          <w:i/>
          <w:iCs/>
          <w:spacing w:val="-2"/>
        </w:rPr>
        <w:t xml:space="preserve">, </w:t>
      </w:r>
      <w:r w:rsidRPr="00587CCC">
        <w:rPr>
          <w:noProof/>
        </w:rPr>
        <w:t>34 FCC Rcd at 11692, 11692-93, 11695</w:t>
      </w:r>
      <w:r w:rsidRPr="00587CCC">
        <w:rPr>
          <w:spacing w:val="-2"/>
        </w:rPr>
        <w:t>, paras. 10, 11, 12 n.42 (internal quotation marks omitted)</w:t>
      </w:r>
      <w:r w:rsidRPr="00587CCC">
        <w:rPr>
          <w:i/>
          <w:iCs/>
          <w:color w:val="000000" w:themeColor="text1"/>
        </w:rPr>
        <w:t>.</w:t>
      </w:r>
      <w:r w:rsidRPr="00587CCC">
        <w:rPr>
          <w:color w:val="000000" w:themeColor="text1"/>
        </w:rPr>
        <w:t xml:space="preserve">  </w:t>
      </w:r>
      <w:r w:rsidRPr="00587CCC">
        <w:t xml:space="preserve">We also note that in February 2020, subsequent to our </w:t>
      </w:r>
      <w:r w:rsidRPr="00587CCC">
        <w:rPr>
          <w:i/>
          <w:iCs/>
        </w:rPr>
        <w:t>2019 Resolution of Notice of Inquiry</w:t>
      </w:r>
      <w:r w:rsidRPr="00587CCC">
        <w:t xml:space="preserve">, the FDA published a comprehensive literature review of radiofrequency exposure and cancer, available online from the FDA at </w:t>
      </w:r>
      <w:hyperlink r:id="rId4" w:history="1">
        <w:r w:rsidRPr="00F07A2A" w:rsidR="00F07A2A">
          <w:rPr>
            <w:rStyle w:val="Hyperlink"/>
          </w:rPr>
          <w:t>https://www.fda.gov/media/135043/download</w:t>
        </w:r>
      </w:hyperlink>
      <w:r w:rsidRPr="00587CCC">
        <w:t xml:space="preserve"> (last visited </w:t>
      </w:r>
      <w:r w:rsidR="00F07A2A">
        <w:t>Aug. 31, 2026</w:t>
      </w:r>
      <w:r w:rsidRPr="00587CCC">
        <w:t>).</w:t>
      </w:r>
      <w:r w:rsidRPr="00587CCC">
        <w:rPr>
          <w:color w:val="000000" w:themeColor="text1"/>
        </w:rPr>
        <w:t xml:space="preserve">  The review summarizes the FDA’s evaluation of approximately 125 peer-reviewed animal studies and 70 peer-reviewed epidemiological studies of possible links between radiofrequency exposure and cancer.  It finds that, </w:t>
      </w:r>
      <w:r w:rsidRPr="00587CCC">
        <w:t>“there is no quantifiable causal link between RFR exposure and tumor formation,” and the FDA affirms on their webpage that “the current limit on radio frequency (RF) energy set by the </w:t>
      </w:r>
      <w:hyperlink r:id="rId5" w:history="1">
        <w:r w:rsidRPr="00587CCC">
          <w:rPr>
            <w:rStyle w:val="Hyperlink"/>
          </w:rPr>
          <w:t>Federal Communications Commission remains acceptable for protecting</w:t>
        </w:r>
      </w:hyperlink>
      <w:r w:rsidRPr="00587CCC">
        <w:t xml:space="preserve"> the public health” and that “to date, there is no consistent or credible scientific evidence of health problems caused by the exposure to radio frequency energy emitted by cell phones.”  </w:t>
      </w:r>
      <w:r w:rsidRPr="00587CCC">
        <w:rPr>
          <w:i/>
          <w:iCs/>
        </w:rPr>
        <w:t>See</w:t>
      </w:r>
      <w:r w:rsidR="00F40AC3">
        <w:rPr>
          <w:i/>
          <w:iCs/>
        </w:rPr>
        <w:t xml:space="preserve"> </w:t>
      </w:r>
      <w:r w:rsidR="00F40AC3">
        <w:t xml:space="preserve">U.S. Food </w:t>
      </w:r>
      <w:r w:rsidR="00371D2A">
        <w:t>&amp; Drug Admin.</w:t>
      </w:r>
      <w:r w:rsidR="00371D2A">
        <w:rPr>
          <w:i/>
          <w:iCs/>
        </w:rPr>
        <w:t xml:space="preserve"> Cell Phones</w:t>
      </w:r>
      <w:r w:rsidR="00EA288C">
        <w:t>,</w:t>
      </w:r>
      <w:r w:rsidRPr="00587CCC">
        <w:t xml:space="preserve"> </w:t>
      </w:r>
      <w:hyperlink r:id="rId6" w:history="1">
        <w:r w:rsidRPr="00587CCC">
          <w:rPr>
            <w:rStyle w:val="Hyperlink"/>
          </w:rPr>
          <w:t>https://www.fda.gov/radiation-emitting-products/cell-phones/scientific-evidence-cell-phone-safety</w:t>
        </w:r>
      </w:hyperlink>
      <w:r w:rsidRPr="00587CCC">
        <w:t xml:space="preserve"> (last visited </w:t>
      </w:r>
      <w:r w:rsidR="00EA288C">
        <w:t>Aug</w:t>
      </w:r>
      <w:r w:rsidRPr="00587CCC">
        <w:t xml:space="preserve">. </w:t>
      </w:r>
      <w:r w:rsidR="00EA288C">
        <w:t>31</w:t>
      </w:r>
      <w:r w:rsidRPr="00587CCC">
        <w:t>, 202</w:t>
      </w:r>
      <w:r w:rsidR="00EA288C">
        <w:t>6</w:t>
      </w:r>
      <w:r w:rsidRPr="00587CCC">
        <w:t>).</w:t>
      </w:r>
      <w:r w:rsidRPr="00587CCC">
        <w:rPr>
          <w:color w:val="000000" w:themeColor="text1"/>
        </w:rPr>
        <w:t xml:space="preserve">   </w:t>
      </w:r>
    </w:p>
  </w:footnote>
  <w:footnote w:id="38">
    <w:p w:rsidR="00B16BF1" w:rsidRPr="00587CCC" w:rsidP="00B16BF1" w14:paraId="31C7933A" w14:textId="77777777">
      <w:pPr>
        <w:autoSpaceDE w:val="0"/>
        <w:autoSpaceDN w:val="0"/>
        <w:adjustRightInd w:val="0"/>
        <w:spacing w:line="240" w:lineRule="auto"/>
        <w:rPr>
          <w:rFonts w:ascii="Times New Roman" w:hAnsi="Times New Roman" w:cs="Times New Roman"/>
          <w:i/>
          <w:kern w:val="0"/>
          <w:sz w:val="20"/>
          <w:szCs w:val="20"/>
        </w:rPr>
      </w:pPr>
      <w:r w:rsidRPr="00587CCC">
        <w:rPr>
          <w:rStyle w:val="FootnoteReference"/>
          <w:rFonts w:cs="Times New Roman"/>
          <w:sz w:val="20"/>
          <w:szCs w:val="20"/>
        </w:rPr>
        <w:footnoteRef/>
      </w:r>
      <w:r w:rsidRPr="00587CCC">
        <w:rPr>
          <w:rFonts w:ascii="Times New Roman" w:hAnsi="Times New Roman" w:cs="Times New Roman"/>
          <w:i/>
          <w:kern w:val="0"/>
          <w:sz w:val="20"/>
          <w:szCs w:val="20"/>
        </w:rPr>
        <w:t xml:space="preserve"> 2013 R&amp;O, FNPRM, and NOI</w:t>
      </w:r>
      <w:r w:rsidRPr="00587CCC">
        <w:rPr>
          <w:rFonts w:ascii="Times New Roman" w:hAnsi="Times New Roman" w:cs="Times New Roman"/>
          <w:kern w:val="0"/>
          <w:sz w:val="20"/>
          <w:szCs w:val="20"/>
        </w:rPr>
        <w:t>, 28 FCC Rcd at 3575, para. 219</w:t>
      </w:r>
      <w:r w:rsidRPr="00587CCC">
        <w:rPr>
          <w:rFonts w:ascii="Times New Roman" w:hAnsi="Times New Roman" w:cs="Times New Roman"/>
          <w:i/>
          <w:kern w:val="0"/>
          <w:sz w:val="20"/>
          <w:szCs w:val="20"/>
        </w:rPr>
        <w:t xml:space="preserve">.  </w:t>
      </w:r>
      <w:r w:rsidRPr="00587CCC">
        <w:rPr>
          <w:rFonts w:ascii="Times New Roman" w:hAnsi="Times New Roman" w:cs="Times New Roman"/>
          <w:kern w:val="0"/>
          <w:sz w:val="20"/>
          <w:szCs w:val="20"/>
        </w:rPr>
        <w:t xml:space="preserve">We note that this is similar to the 2013 </w:t>
      </w:r>
      <w:r w:rsidRPr="00587CCC">
        <w:rPr>
          <w:rFonts w:ascii="Times New Roman" w:hAnsi="Times New Roman" w:cs="Times New Roman"/>
          <w:i/>
          <w:kern w:val="0"/>
          <w:sz w:val="20"/>
          <w:szCs w:val="20"/>
        </w:rPr>
        <w:t>Notice of Inquiry</w:t>
      </w:r>
      <w:r w:rsidRPr="00587CCC">
        <w:rPr>
          <w:rFonts w:ascii="Times New Roman" w:hAnsi="Times New Roman" w:cs="Times New Roman"/>
          <w:kern w:val="0"/>
          <w:sz w:val="20"/>
          <w:szCs w:val="20"/>
        </w:rPr>
        <w:t xml:space="preserve"> where the Commission stated that, </w:t>
      </w:r>
      <w:r w:rsidRPr="00587CCC">
        <w:rPr>
          <w:rFonts w:ascii="Times New Roman" w:hAnsi="Times New Roman" w:cs="Times New Roman"/>
          <w:color w:val="000000" w:themeColor="text1"/>
          <w:sz w:val="20"/>
          <w:szCs w:val="20"/>
        </w:rPr>
        <w:t>“[</w:t>
      </w:r>
      <w:r w:rsidRPr="00587CCC">
        <w:rPr>
          <w:rFonts w:ascii="Times New Roman" w:hAnsi="Times New Roman" w:cs="Times New Roman"/>
          <w:color w:val="000000" w:themeColor="text1"/>
          <w:sz w:val="20"/>
          <w:szCs w:val="20"/>
        </w:rPr>
        <w:t>i</w:t>
      </w:r>
      <w:r w:rsidRPr="00587CCC">
        <w:rPr>
          <w:rFonts w:ascii="Times New Roman" w:hAnsi="Times New Roman" w:cs="Times New Roman"/>
          <w:color w:val="000000" w:themeColor="text1"/>
          <w:sz w:val="20"/>
          <w:szCs w:val="20"/>
        </w:rPr>
        <w:t xml:space="preserve">]n addition to seeking input from federal health and safety agencies and institutes, we solicit comment from national and international standards organizations (specifically including NCRP and IEEE) on the currency of their exposure limits and supporting documents in light of recent research and [the International Agency for Research on Cancer’s] announcement on its classification of RF fields.”  </w:t>
      </w:r>
      <w:r w:rsidRPr="00587CCC">
        <w:rPr>
          <w:rFonts w:ascii="Times New Roman" w:hAnsi="Times New Roman" w:cs="Times New Roman"/>
          <w:i/>
          <w:color w:val="000000" w:themeColor="text1"/>
          <w:sz w:val="20"/>
          <w:szCs w:val="20"/>
        </w:rPr>
        <w:t>Id.</w:t>
      </w:r>
    </w:p>
  </w:footnote>
  <w:footnote w:id="39">
    <w:p w:rsidR="00B16BF1" w:rsidRPr="00587CCC" w:rsidP="00B16BF1" w14:paraId="5067D6DC" w14:textId="77777777">
      <w:pPr>
        <w:autoSpaceDE w:val="0"/>
        <w:autoSpaceDN w:val="0"/>
        <w:adjustRightInd w:val="0"/>
        <w:spacing w:after="120" w:line="240" w:lineRule="auto"/>
        <w:rPr>
          <w:rFonts w:ascii="Times New Roman" w:hAnsi="Times New Roman" w:cs="Times New Roman"/>
          <w:sz w:val="20"/>
          <w:szCs w:val="20"/>
        </w:rPr>
      </w:pPr>
      <w:r w:rsidRPr="00587CCC">
        <w:rPr>
          <w:rStyle w:val="FootnoteReference"/>
          <w:rFonts w:cs="Times New Roman"/>
          <w:sz w:val="20"/>
          <w:szCs w:val="20"/>
        </w:rPr>
        <w:footnoteRef/>
      </w:r>
      <w:r w:rsidRPr="00587CCC">
        <w:rPr>
          <w:rFonts w:ascii="Times New Roman" w:hAnsi="Times New Roman" w:cs="Times New Roman"/>
          <w:sz w:val="20"/>
          <w:szCs w:val="20"/>
        </w:rPr>
        <w:t xml:space="preserve"> </w:t>
      </w:r>
      <w:r w:rsidRPr="00587CCC">
        <w:rPr>
          <w:rFonts w:ascii="Times New Roman" w:hAnsi="Times New Roman" w:cs="Times New Roman"/>
          <w:color w:val="000000" w:themeColor="text1"/>
          <w:sz w:val="20"/>
          <w:szCs w:val="20"/>
        </w:rPr>
        <w:t xml:space="preserve">IEEE is a non-profit international professional association of electrical and electronics engineers involved in technology standards development.  ICNIRP is an international non-profit organization comprised of independent scientific experts that provides scientific advice and guidance on the health and environmental effects of non-ionizing radiation (NIR) to protect people and the environment from detrimental NIR exposure.  </w:t>
      </w:r>
      <w:r w:rsidRPr="00587CCC">
        <w:rPr>
          <w:rFonts w:ascii="Times New Roman" w:hAnsi="Times New Roman" w:cs="Times New Roman"/>
          <w:sz w:val="20"/>
          <w:szCs w:val="20"/>
        </w:rPr>
        <w:t>The NCRP is a nonprofit corporation chartered by Congress in 1964 primarily to collect, analyze, develop, and disseminate information on radiation protection.</w:t>
      </w:r>
    </w:p>
  </w:footnote>
  <w:footnote w:id="40">
    <w:p w:rsidR="00B16BF1" w:rsidRPr="00587CCC" w:rsidP="00B16BF1" w14:paraId="3AAA9801" w14:textId="135AB369">
      <w:pPr>
        <w:pStyle w:val="FootnoteText"/>
      </w:pPr>
      <w:r w:rsidRPr="00587CCC">
        <w:rPr>
          <w:rStyle w:val="FootnoteReference"/>
          <w:sz w:val="20"/>
        </w:rPr>
        <w:footnoteRef/>
      </w:r>
      <w:r w:rsidRPr="00587CCC">
        <w:t xml:space="preserve"> </w:t>
      </w:r>
      <w:r w:rsidR="00DC0FE8">
        <w:rPr>
          <w:i/>
          <w:iCs/>
        </w:rPr>
        <w:t>See, e.g.</w:t>
      </w:r>
      <w:r w:rsidR="00DC0FE8">
        <w:t>,</w:t>
      </w:r>
      <w:r w:rsidRPr="00587CCC">
        <w:t xml:space="preserve"> Inst</w:t>
      </w:r>
      <w:r w:rsidR="00EB27B6">
        <w:t>.</w:t>
      </w:r>
      <w:r w:rsidRPr="00587CCC">
        <w:t xml:space="preserve"> of Elec</w:t>
      </w:r>
      <w:r w:rsidR="00A81000">
        <w:t>.</w:t>
      </w:r>
      <w:r w:rsidRPr="00587CCC">
        <w:t xml:space="preserve"> and Elec</w:t>
      </w:r>
      <w:r w:rsidR="00F46E90">
        <w:t>.</w:t>
      </w:r>
      <w:r w:rsidRPr="00587CCC">
        <w:t xml:space="preserve"> Eng</w:t>
      </w:r>
      <w:r w:rsidR="00E63051">
        <w:t>’g</w:t>
      </w:r>
      <w:r w:rsidRPr="00587CCC">
        <w:t xml:space="preserve">, </w:t>
      </w:r>
      <w:r w:rsidRPr="00CF64C6">
        <w:rPr>
          <w:i/>
        </w:rPr>
        <w:t>IEEE Standard for Safety Levels with Respect to Human Exposure to Radio Frequency Electromagnetic Fields, 0 Hz to 300 GHz, IEEE Std C95.1- 2019</w:t>
      </w:r>
      <w:r w:rsidRPr="00587CCC">
        <w:t xml:space="preserve"> </w:t>
      </w:r>
      <w:r w:rsidR="00F368CA">
        <w:t>(</w:t>
      </w:r>
      <w:r w:rsidRPr="00587CCC">
        <w:t>2019</w:t>
      </w:r>
      <w:r w:rsidR="00F368CA">
        <w:t>)</w:t>
      </w:r>
      <w:r w:rsidR="00DC0FE8">
        <w:t>;</w:t>
      </w:r>
      <w:r w:rsidRPr="00587CCC">
        <w:t xml:space="preserve">  </w:t>
      </w:r>
      <w:r w:rsidR="00B72595">
        <w:t xml:space="preserve">Int’l Comm. on Non-Ionizing Radiation Protection, </w:t>
      </w:r>
      <w:r w:rsidRPr="00CF64C6">
        <w:rPr>
          <w:i/>
        </w:rPr>
        <w:t>ICNIRP Guidelines for Limiting Exposure to Electromagnetic Fields (100 kHz to 300 GHz)</w:t>
      </w:r>
      <w:r w:rsidR="00555FC6">
        <w:t>,</w:t>
      </w:r>
      <w:r w:rsidRPr="00587CCC">
        <w:t xml:space="preserve"> </w:t>
      </w:r>
      <w:r w:rsidR="00555FC6">
        <w:t xml:space="preserve">118 </w:t>
      </w:r>
      <w:r w:rsidRPr="00587CCC">
        <w:t>Health Phys</w:t>
      </w:r>
      <w:r w:rsidR="00555FC6">
        <w:t>.</w:t>
      </w:r>
      <w:r w:rsidRPr="00587CCC">
        <w:t xml:space="preserve"> 483 (</w:t>
      </w:r>
      <w:r w:rsidRPr="00587CCC">
        <w:rPr>
          <w:i/>
          <w:iCs/>
        </w:rPr>
        <w:t>2020</w:t>
      </w:r>
      <w:r w:rsidRPr="00587CCC">
        <w:t>)</w:t>
      </w:r>
      <w:r w:rsidR="00555FC6">
        <w:t>;</w:t>
      </w:r>
      <w:r w:rsidRPr="00587CCC">
        <w:t xml:space="preserve">  </w:t>
      </w:r>
      <w:r w:rsidRPr="00587CCC">
        <w:t>N</w:t>
      </w:r>
      <w:r w:rsidR="0086435C">
        <w:t>at’l</w:t>
      </w:r>
      <w:r w:rsidR="0086435C">
        <w:t xml:space="preserve"> </w:t>
      </w:r>
      <w:r w:rsidRPr="00587CCC">
        <w:t>C</w:t>
      </w:r>
      <w:r w:rsidR="0086435C">
        <w:t xml:space="preserve">ouncil on </w:t>
      </w:r>
      <w:r w:rsidRPr="00587CCC">
        <w:t>R</w:t>
      </w:r>
      <w:r w:rsidR="0086435C">
        <w:t xml:space="preserve">adiation </w:t>
      </w:r>
      <w:r w:rsidRPr="00587CCC" w:rsidR="00C05B0E">
        <w:t>P</w:t>
      </w:r>
      <w:r w:rsidR="00C05B0E">
        <w:t xml:space="preserve">rotect. &amp; </w:t>
      </w:r>
      <w:r w:rsidR="0086435C">
        <w:t>Measuremen</w:t>
      </w:r>
      <w:r w:rsidR="00CF64C6">
        <w:t>t</w:t>
      </w:r>
      <w:r w:rsidR="0086435C">
        <w:t>s</w:t>
      </w:r>
      <w:r w:rsidRPr="00587CCC">
        <w:t xml:space="preserve">, </w:t>
      </w:r>
      <w:hyperlink r:id="rId7" w:history="1">
        <w:r w:rsidRPr="00587CCC">
          <w:rPr>
            <w:rStyle w:val="Hyperlink"/>
          </w:rPr>
          <w:t>https://non-ionizing.ncrponline.org/</w:t>
        </w:r>
      </w:hyperlink>
      <w:r w:rsidRPr="00587CCC">
        <w:t xml:space="preserve"> (last visited, </w:t>
      </w:r>
      <w:r w:rsidR="00197259">
        <w:t>Aug. 31</w:t>
      </w:r>
      <w:r w:rsidRPr="00587CCC">
        <w:t>, 2026)</w:t>
      </w:r>
      <w:r w:rsidR="00CF64C6">
        <w:t>.</w:t>
      </w:r>
    </w:p>
  </w:footnote>
  <w:footnote w:id="41">
    <w:p w:rsidR="0020423E" w:rsidRPr="00587CCC" w:rsidP="00587CCC" w14:paraId="7FB5A6C8" w14:textId="1C0F00B9">
      <w:pPr>
        <w:pStyle w:val="FootnoteText"/>
        <w:rPr>
          <w:i/>
          <w:iCs/>
        </w:rPr>
      </w:pPr>
      <w:r w:rsidRPr="00587CCC">
        <w:rPr>
          <w:rStyle w:val="FootnoteReference"/>
          <w:sz w:val="20"/>
        </w:rPr>
        <w:footnoteRef/>
      </w:r>
      <w:r w:rsidRPr="00587CCC">
        <w:t xml:space="preserve"> 47 C</w:t>
      </w:r>
      <w:r w:rsidRPr="00587CCC" w:rsidR="007A1420">
        <w:t>FR</w:t>
      </w:r>
      <w:r w:rsidRPr="00587CCC">
        <w:t xml:space="preserve"> § 1.1200 </w:t>
      </w:r>
      <w:r w:rsidRPr="00587CCC">
        <w:rPr>
          <w:i/>
          <w:iCs/>
        </w:rPr>
        <w:t>et seq.</w:t>
      </w:r>
    </w:p>
    <w:p w:rsidR="0020423E" w:rsidRPr="007146D7" w:rsidP="00245B8C" w14:paraId="76CC3818" w14:textId="77777777">
      <w:pPr>
        <w:pStyle w:val="FootnoteText"/>
        <w:rPr>
          <w:rFonts w:asciiTheme="minorHAnsi" w:hAnsiTheme="minorHAnsi" w:cstheme="minorHAnsi"/>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5F3A" w:rsidRPr="00091295" w:rsidP="00091295" w14:paraId="25EB7FA9" w14:textId="4EAA37B0">
    <w:pPr>
      <w:tabs>
        <w:tab w:val="left" w:pos="-720"/>
      </w:tabs>
      <w:suppressAutoHyphens/>
      <w:spacing w:line="19" w:lineRule="exact"/>
      <w:rPr>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5F3A" w14:paraId="28382A81" w14:textId="2CFBCCA5">
    <w:pPr>
      <w:pStyle w:val="Header"/>
    </w:pPr>
    <w:r>
      <w:rPr>
        <w:noProof/>
      </w:rPr>
      <w:drawing>
        <wp:inline distT="0" distB="0" distL="0" distR="0">
          <wp:extent cx="5943600" cy="1432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4325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B453C"/>
    <w:multiLevelType w:val="singleLevel"/>
    <w:tmpl w:val="40A8E97A"/>
    <w:lvl w:ilvl="0">
      <w:start w:val="1"/>
      <w:numFmt w:val="decimal"/>
      <w:lvlText w:val="%1."/>
      <w:lvlJc w:val="left"/>
      <w:pPr>
        <w:tabs>
          <w:tab w:val="num" w:pos="1080"/>
        </w:tabs>
        <w:ind w:left="0" w:firstLine="720"/>
      </w:pPr>
    </w:lvl>
  </w:abstractNum>
  <w:abstractNum w:abstractNumId="1">
    <w:nsid w:val="0980281F"/>
    <w:multiLevelType w:val="hybridMultilevel"/>
    <w:tmpl w:val="C88C5E6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C65425E"/>
    <w:multiLevelType w:val="hybridMultilevel"/>
    <w:tmpl w:val="A6220D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0AC2E9C"/>
    <w:multiLevelType w:val="hybridMultilevel"/>
    <w:tmpl w:val="3A2406F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3F40A0F"/>
    <w:multiLevelType w:val="singleLevel"/>
    <w:tmpl w:val="3244DD0A"/>
    <w:lvl w:ilvl="0">
      <w:start w:val="1"/>
      <w:numFmt w:val="bullet"/>
      <w:pStyle w:val="Bullet"/>
      <w:lvlText w:val=""/>
      <w:lvlJc w:val="left"/>
      <w:pPr>
        <w:tabs>
          <w:tab w:val="num" w:pos="360"/>
        </w:tabs>
        <w:ind w:left="360" w:hanging="360"/>
      </w:pPr>
      <w:rPr>
        <w:rFonts w:ascii="Symbol" w:hAnsi="Symbol" w:hint="default"/>
      </w:rPr>
    </w:lvl>
  </w:abstractNum>
  <w:abstractNum w:abstractNumId="5">
    <w:nsid w:val="248246F3"/>
    <w:multiLevelType w:val="singleLevel"/>
    <w:tmpl w:val="B1F45678"/>
    <w:lvl w:ilvl="0">
      <w:start w:val="1"/>
      <w:numFmt w:val="decimal"/>
      <w:lvlText w:val="%1."/>
      <w:lvlJc w:val="left"/>
      <w:pPr>
        <w:tabs>
          <w:tab w:val="num" w:pos="1080"/>
        </w:tabs>
        <w:ind w:left="0" w:firstLine="720"/>
      </w:pPr>
    </w:lvl>
  </w:abstractNum>
  <w:abstractNum w:abstractNumId="6">
    <w:nsid w:val="27E06CBB"/>
    <w:multiLevelType w:val="multilevel"/>
    <w:tmpl w:val="F1A8698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7">
    <w:nsid w:val="3CF371A6"/>
    <w:multiLevelType w:val="hybridMultilevel"/>
    <w:tmpl w:val="9CBA3A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B1537FD"/>
    <w:multiLevelType w:val="hybridMultilevel"/>
    <w:tmpl w:val="64E0549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4D7D01FA"/>
    <w:multiLevelType w:val="multilevel"/>
    <w:tmpl w:val="09707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F61CE4"/>
    <w:multiLevelType w:val="multilevel"/>
    <w:tmpl w:val="F1A8698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nsid w:val="4E6251B4"/>
    <w:multiLevelType w:val="hybridMultilevel"/>
    <w:tmpl w:val="37C4C7E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3">
    <w:nsid w:val="64903074"/>
    <w:multiLevelType w:val="hybridMultilevel"/>
    <w:tmpl w:val="0D745F76"/>
    <w:lvl w:ilvl="0">
      <w:start w:val="1"/>
      <w:numFmt w:val="decimal"/>
      <w:lvlText w:val="%1."/>
      <w:lvlJc w:val="left"/>
      <w:pPr>
        <w:tabs>
          <w:tab w:val="num" w:pos="1080"/>
        </w:tabs>
        <w:ind w:left="724" w:hanging="360"/>
      </w:pPr>
      <w:rPr>
        <w:rFonts w:hint="default"/>
      </w:rPr>
    </w:lvl>
    <w:lvl w:ilvl="1">
      <w:start w:val="1"/>
      <w:numFmt w:val="lowerLetter"/>
      <w:lvlText w:val="%2."/>
      <w:lvlJc w:val="left"/>
      <w:pPr>
        <w:tabs>
          <w:tab w:val="num" w:pos="2164"/>
        </w:tabs>
        <w:ind w:left="2164" w:hanging="360"/>
      </w:pPr>
    </w:lvl>
    <w:lvl w:ilvl="2" w:tentative="1">
      <w:start w:val="1"/>
      <w:numFmt w:val="lowerRoman"/>
      <w:lvlText w:val="%3."/>
      <w:lvlJc w:val="right"/>
      <w:pPr>
        <w:tabs>
          <w:tab w:val="num" w:pos="2884"/>
        </w:tabs>
        <w:ind w:left="2884" w:hanging="180"/>
      </w:pPr>
    </w:lvl>
    <w:lvl w:ilvl="3" w:tentative="1">
      <w:start w:val="1"/>
      <w:numFmt w:val="decimal"/>
      <w:lvlText w:val="%4."/>
      <w:lvlJc w:val="left"/>
      <w:pPr>
        <w:tabs>
          <w:tab w:val="num" w:pos="3604"/>
        </w:tabs>
        <w:ind w:left="3604" w:hanging="360"/>
      </w:pPr>
    </w:lvl>
    <w:lvl w:ilvl="4" w:tentative="1">
      <w:start w:val="1"/>
      <w:numFmt w:val="lowerLetter"/>
      <w:lvlText w:val="%5."/>
      <w:lvlJc w:val="left"/>
      <w:pPr>
        <w:tabs>
          <w:tab w:val="num" w:pos="4324"/>
        </w:tabs>
        <w:ind w:left="4324" w:hanging="360"/>
      </w:pPr>
    </w:lvl>
    <w:lvl w:ilvl="5" w:tentative="1">
      <w:start w:val="1"/>
      <w:numFmt w:val="lowerRoman"/>
      <w:lvlText w:val="%6."/>
      <w:lvlJc w:val="right"/>
      <w:pPr>
        <w:tabs>
          <w:tab w:val="num" w:pos="5044"/>
        </w:tabs>
        <w:ind w:left="5044" w:hanging="180"/>
      </w:pPr>
    </w:lvl>
    <w:lvl w:ilvl="6" w:tentative="1">
      <w:start w:val="1"/>
      <w:numFmt w:val="decimal"/>
      <w:lvlText w:val="%7."/>
      <w:lvlJc w:val="left"/>
      <w:pPr>
        <w:tabs>
          <w:tab w:val="num" w:pos="5764"/>
        </w:tabs>
        <w:ind w:left="5764" w:hanging="360"/>
      </w:pPr>
    </w:lvl>
    <w:lvl w:ilvl="7" w:tentative="1">
      <w:start w:val="1"/>
      <w:numFmt w:val="lowerLetter"/>
      <w:lvlText w:val="%8."/>
      <w:lvlJc w:val="left"/>
      <w:pPr>
        <w:tabs>
          <w:tab w:val="num" w:pos="6484"/>
        </w:tabs>
        <w:ind w:left="6484" w:hanging="360"/>
      </w:pPr>
    </w:lvl>
    <w:lvl w:ilvl="8" w:tentative="1">
      <w:start w:val="1"/>
      <w:numFmt w:val="lowerRoman"/>
      <w:lvlText w:val="%9."/>
      <w:lvlJc w:val="right"/>
      <w:pPr>
        <w:tabs>
          <w:tab w:val="num" w:pos="7204"/>
        </w:tabs>
        <w:ind w:left="7204" w:hanging="180"/>
      </w:pPr>
    </w:lvl>
  </w:abstractNum>
  <w:num w:numId="1" w16cid:durableId="366567734">
    <w:abstractNumId w:val="4"/>
  </w:num>
  <w:num w:numId="2" w16cid:durableId="690300619">
    <w:abstractNumId w:val="12"/>
  </w:num>
  <w:num w:numId="3" w16cid:durableId="4329302">
    <w:abstractNumId w:val="6"/>
  </w:num>
  <w:num w:numId="4" w16cid:durableId="1203126974">
    <w:abstractNumId w:val="10"/>
  </w:num>
  <w:num w:numId="5" w16cid:durableId="1593590409">
    <w:abstractNumId w:val="5"/>
  </w:num>
  <w:num w:numId="6" w16cid:durableId="18821545">
    <w:abstractNumId w:val="0"/>
  </w:num>
  <w:num w:numId="7" w16cid:durableId="388651053">
    <w:abstractNumId w:val="13"/>
  </w:num>
  <w:num w:numId="8" w16cid:durableId="46993178">
    <w:abstractNumId w:val="1"/>
  </w:num>
  <w:num w:numId="9" w16cid:durableId="676886016">
    <w:abstractNumId w:val="8"/>
  </w:num>
  <w:num w:numId="10" w16cid:durableId="1051004772">
    <w:abstractNumId w:val="11"/>
  </w:num>
  <w:num w:numId="11" w16cid:durableId="413743893">
    <w:abstractNumId w:val="4"/>
  </w:num>
  <w:num w:numId="12" w16cid:durableId="270626566">
    <w:abstractNumId w:val="6"/>
  </w:num>
  <w:num w:numId="13" w16cid:durableId="1763330059">
    <w:abstractNumId w:val="6"/>
  </w:num>
  <w:num w:numId="14" w16cid:durableId="606929961">
    <w:abstractNumId w:val="6"/>
  </w:num>
  <w:num w:numId="15" w16cid:durableId="2059667518">
    <w:abstractNumId w:val="6"/>
  </w:num>
  <w:num w:numId="16" w16cid:durableId="518354501">
    <w:abstractNumId w:val="6"/>
  </w:num>
  <w:num w:numId="17" w16cid:durableId="227810214">
    <w:abstractNumId w:val="6"/>
  </w:num>
  <w:num w:numId="18" w16cid:durableId="1635673537">
    <w:abstractNumId w:val="6"/>
  </w:num>
  <w:num w:numId="19" w16cid:durableId="1835880496">
    <w:abstractNumId w:val="6"/>
  </w:num>
  <w:num w:numId="20" w16cid:durableId="784617056">
    <w:abstractNumId w:val="6"/>
  </w:num>
  <w:num w:numId="21" w16cid:durableId="1239826016">
    <w:abstractNumId w:val="12"/>
  </w:num>
  <w:num w:numId="22" w16cid:durableId="1066146953">
    <w:abstractNumId w:val="12"/>
  </w:num>
  <w:num w:numId="23" w16cid:durableId="886797303">
    <w:abstractNumId w:val="12"/>
  </w:num>
  <w:num w:numId="24" w16cid:durableId="1660229359">
    <w:abstractNumId w:val="2"/>
  </w:num>
  <w:num w:numId="25" w16cid:durableId="434401142">
    <w:abstractNumId w:val="3"/>
  </w:num>
  <w:num w:numId="26" w16cid:durableId="868221897">
    <w:abstractNumId w:val="9"/>
  </w:num>
  <w:num w:numId="27" w16cid:durableId="1694260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linkStyl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95"/>
    <w:rsid w:val="000012E4"/>
    <w:rsid w:val="000014A5"/>
    <w:rsid w:val="0000191C"/>
    <w:rsid w:val="00001BDC"/>
    <w:rsid w:val="00002DFF"/>
    <w:rsid w:val="00002E8C"/>
    <w:rsid w:val="00002EF2"/>
    <w:rsid w:val="00002FEC"/>
    <w:rsid w:val="000034AC"/>
    <w:rsid w:val="000038A5"/>
    <w:rsid w:val="00003CA1"/>
    <w:rsid w:val="000041D2"/>
    <w:rsid w:val="00004380"/>
    <w:rsid w:val="000046F2"/>
    <w:rsid w:val="0000533B"/>
    <w:rsid w:val="00005B13"/>
    <w:rsid w:val="00005CB5"/>
    <w:rsid w:val="00006EBB"/>
    <w:rsid w:val="0000732F"/>
    <w:rsid w:val="0000767B"/>
    <w:rsid w:val="00007D7B"/>
    <w:rsid w:val="000101C0"/>
    <w:rsid w:val="00010C7A"/>
    <w:rsid w:val="00010F80"/>
    <w:rsid w:val="00011556"/>
    <w:rsid w:val="00011E79"/>
    <w:rsid w:val="0001268A"/>
    <w:rsid w:val="00012B6F"/>
    <w:rsid w:val="00012C62"/>
    <w:rsid w:val="00012D13"/>
    <w:rsid w:val="00012DF8"/>
    <w:rsid w:val="00013562"/>
    <w:rsid w:val="00013EC1"/>
    <w:rsid w:val="00014181"/>
    <w:rsid w:val="000141D7"/>
    <w:rsid w:val="00014721"/>
    <w:rsid w:val="00015248"/>
    <w:rsid w:val="00015C9C"/>
    <w:rsid w:val="0001621C"/>
    <w:rsid w:val="00016443"/>
    <w:rsid w:val="00016F32"/>
    <w:rsid w:val="00017162"/>
    <w:rsid w:val="000171AF"/>
    <w:rsid w:val="00017C4F"/>
    <w:rsid w:val="000200EC"/>
    <w:rsid w:val="00020374"/>
    <w:rsid w:val="00020431"/>
    <w:rsid w:val="0002076D"/>
    <w:rsid w:val="00020DE3"/>
    <w:rsid w:val="000213BC"/>
    <w:rsid w:val="000221C7"/>
    <w:rsid w:val="00022451"/>
    <w:rsid w:val="00022585"/>
    <w:rsid w:val="00022F7D"/>
    <w:rsid w:val="000239B6"/>
    <w:rsid w:val="00023F3C"/>
    <w:rsid w:val="00023F82"/>
    <w:rsid w:val="000257E6"/>
    <w:rsid w:val="00025EB6"/>
    <w:rsid w:val="00025FC4"/>
    <w:rsid w:val="00025FD2"/>
    <w:rsid w:val="0002666E"/>
    <w:rsid w:val="00026784"/>
    <w:rsid w:val="00026AD1"/>
    <w:rsid w:val="000272A7"/>
    <w:rsid w:val="00027A4F"/>
    <w:rsid w:val="00027CAE"/>
    <w:rsid w:val="00027FC0"/>
    <w:rsid w:val="0003016E"/>
    <w:rsid w:val="00030340"/>
    <w:rsid w:val="000303B2"/>
    <w:rsid w:val="00031012"/>
    <w:rsid w:val="000314B1"/>
    <w:rsid w:val="0003189A"/>
    <w:rsid w:val="00031C67"/>
    <w:rsid w:val="00031F31"/>
    <w:rsid w:val="000321F6"/>
    <w:rsid w:val="0003247F"/>
    <w:rsid w:val="00032DF7"/>
    <w:rsid w:val="0003341C"/>
    <w:rsid w:val="00034004"/>
    <w:rsid w:val="000341BF"/>
    <w:rsid w:val="0003439C"/>
    <w:rsid w:val="000348D4"/>
    <w:rsid w:val="00034910"/>
    <w:rsid w:val="000349C9"/>
    <w:rsid w:val="00035520"/>
    <w:rsid w:val="000355E4"/>
    <w:rsid w:val="0003569D"/>
    <w:rsid w:val="00035758"/>
    <w:rsid w:val="00035A59"/>
    <w:rsid w:val="00036157"/>
    <w:rsid w:val="000365D4"/>
    <w:rsid w:val="00036B62"/>
    <w:rsid w:val="00036F49"/>
    <w:rsid w:val="0003738E"/>
    <w:rsid w:val="000374CF"/>
    <w:rsid w:val="0003790F"/>
    <w:rsid w:val="00037EB8"/>
    <w:rsid w:val="00040271"/>
    <w:rsid w:val="00040540"/>
    <w:rsid w:val="000411CC"/>
    <w:rsid w:val="000415AC"/>
    <w:rsid w:val="00042158"/>
    <w:rsid w:val="00042652"/>
    <w:rsid w:val="00042736"/>
    <w:rsid w:val="000430E0"/>
    <w:rsid w:val="00043486"/>
    <w:rsid w:val="00043915"/>
    <w:rsid w:val="00043CE4"/>
    <w:rsid w:val="0004436A"/>
    <w:rsid w:val="000443D1"/>
    <w:rsid w:val="00044BEA"/>
    <w:rsid w:val="00045065"/>
    <w:rsid w:val="000454CC"/>
    <w:rsid w:val="0004559F"/>
    <w:rsid w:val="000455AA"/>
    <w:rsid w:val="000456FE"/>
    <w:rsid w:val="00045E48"/>
    <w:rsid w:val="00046581"/>
    <w:rsid w:val="00047759"/>
    <w:rsid w:val="00050671"/>
    <w:rsid w:val="00050A1A"/>
    <w:rsid w:val="00050C69"/>
    <w:rsid w:val="00050CDC"/>
    <w:rsid w:val="0005150E"/>
    <w:rsid w:val="0005162E"/>
    <w:rsid w:val="0005177A"/>
    <w:rsid w:val="00051879"/>
    <w:rsid w:val="0005194E"/>
    <w:rsid w:val="00051CCE"/>
    <w:rsid w:val="00052124"/>
    <w:rsid w:val="00052F2D"/>
    <w:rsid w:val="00052FBA"/>
    <w:rsid w:val="00053E66"/>
    <w:rsid w:val="00054E2C"/>
    <w:rsid w:val="000552BF"/>
    <w:rsid w:val="00055E25"/>
    <w:rsid w:val="0005631A"/>
    <w:rsid w:val="000565B5"/>
    <w:rsid w:val="000565F0"/>
    <w:rsid w:val="00057380"/>
    <w:rsid w:val="0005778A"/>
    <w:rsid w:val="000609EF"/>
    <w:rsid w:val="00060F5A"/>
    <w:rsid w:val="000611C8"/>
    <w:rsid w:val="00061B6F"/>
    <w:rsid w:val="00061F05"/>
    <w:rsid w:val="000623EF"/>
    <w:rsid w:val="000624EC"/>
    <w:rsid w:val="000628DA"/>
    <w:rsid w:val="000629C6"/>
    <w:rsid w:val="00063158"/>
    <w:rsid w:val="00063E41"/>
    <w:rsid w:val="00064A2B"/>
    <w:rsid w:val="00064D49"/>
    <w:rsid w:val="00065605"/>
    <w:rsid w:val="00066629"/>
    <w:rsid w:val="0006692B"/>
    <w:rsid w:val="00066CE5"/>
    <w:rsid w:val="000673B7"/>
    <w:rsid w:val="0006799B"/>
    <w:rsid w:val="00067B40"/>
    <w:rsid w:val="0007030E"/>
    <w:rsid w:val="000706EA"/>
    <w:rsid w:val="000706FC"/>
    <w:rsid w:val="00071356"/>
    <w:rsid w:val="00071CE3"/>
    <w:rsid w:val="00072066"/>
    <w:rsid w:val="00072411"/>
    <w:rsid w:val="00072582"/>
    <w:rsid w:val="000746A7"/>
    <w:rsid w:val="00075100"/>
    <w:rsid w:val="00075203"/>
    <w:rsid w:val="000759EA"/>
    <w:rsid w:val="000776E6"/>
    <w:rsid w:val="00077A84"/>
    <w:rsid w:val="00077EB4"/>
    <w:rsid w:val="00080093"/>
    <w:rsid w:val="000811E5"/>
    <w:rsid w:val="00081B31"/>
    <w:rsid w:val="00081B5F"/>
    <w:rsid w:val="000820CC"/>
    <w:rsid w:val="0008233A"/>
    <w:rsid w:val="0008238C"/>
    <w:rsid w:val="00082EB8"/>
    <w:rsid w:val="00082FCB"/>
    <w:rsid w:val="00083718"/>
    <w:rsid w:val="00084365"/>
    <w:rsid w:val="00084656"/>
    <w:rsid w:val="00085D10"/>
    <w:rsid w:val="0008638D"/>
    <w:rsid w:val="00086F89"/>
    <w:rsid w:val="0009038F"/>
    <w:rsid w:val="00090DB0"/>
    <w:rsid w:val="00090F1D"/>
    <w:rsid w:val="00091295"/>
    <w:rsid w:val="00091B90"/>
    <w:rsid w:val="00091E06"/>
    <w:rsid w:val="00093C88"/>
    <w:rsid w:val="00094BA9"/>
    <w:rsid w:val="000953A0"/>
    <w:rsid w:val="00095638"/>
    <w:rsid w:val="00095D58"/>
    <w:rsid w:val="00096878"/>
    <w:rsid w:val="0009778B"/>
    <w:rsid w:val="000979AF"/>
    <w:rsid w:val="00097B66"/>
    <w:rsid w:val="000A0759"/>
    <w:rsid w:val="000A0C49"/>
    <w:rsid w:val="000A0F70"/>
    <w:rsid w:val="000A100F"/>
    <w:rsid w:val="000A13B4"/>
    <w:rsid w:val="000A1983"/>
    <w:rsid w:val="000A2605"/>
    <w:rsid w:val="000A28F8"/>
    <w:rsid w:val="000A320F"/>
    <w:rsid w:val="000A3DDD"/>
    <w:rsid w:val="000A483C"/>
    <w:rsid w:val="000A4AB4"/>
    <w:rsid w:val="000A4F44"/>
    <w:rsid w:val="000A5BD3"/>
    <w:rsid w:val="000A6C1C"/>
    <w:rsid w:val="000A6C83"/>
    <w:rsid w:val="000A7711"/>
    <w:rsid w:val="000A792E"/>
    <w:rsid w:val="000A7E2B"/>
    <w:rsid w:val="000B000F"/>
    <w:rsid w:val="000B142A"/>
    <w:rsid w:val="000B1B16"/>
    <w:rsid w:val="000B1FB4"/>
    <w:rsid w:val="000B200C"/>
    <w:rsid w:val="000B2522"/>
    <w:rsid w:val="000B2B3B"/>
    <w:rsid w:val="000B3241"/>
    <w:rsid w:val="000B3E33"/>
    <w:rsid w:val="000B4BB0"/>
    <w:rsid w:val="000B5385"/>
    <w:rsid w:val="000B546D"/>
    <w:rsid w:val="000B5705"/>
    <w:rsid w:val="000B6169"/>
    <w:rsid w:val="000B65D9"/>
    <w:rsid w:val="000B6E6C"/>
    <w:rsid w:val="000B6F33"/>
    <w:rsid w:val="000B736E"/>
    <w:rsid w:val="000B7730"/>
    <w:rsid w:val="000B7B62"/>
    <w:rsid w:val="000B7DE5"/>
    <w:rsid w:val="000C1078"/>
    <w:rsid w:val="000C2054"/>
    <w:rsid w:val="000C2350"/>
    <w:rsid w:val="000C2AE5"/>
    <w:rsid w:val="000C2E04"/>
    <w:rsid w:val="000C3662"/>
    <w:rsid w:val="000C3789"/>
    <w:rsid w:val="000C3C77"/>
    <w:rsid w:val="000C3F8F"/>
    <w:rsid w:val="000C42B8"/>
    <w:rsid w:val="000C5168"/>
    <w:rsid w:val="000C52CD"/>
    <w:rsid w:val="000C58E5"/>
    <w:rsid w:val="000C6113"/>
    <w:rsid w:val="000C612B"/>
    <w:rsid w:val="000C6BC0"/>
    <w:rsid w:val="000C73BB"/>
    <w:rsid w:val="000C78D0"/>
    <w:rsid w:val="000C7D6C"/>
    <w:rsid w:val="000D085B"/>
    <w:rsid w:val="000D0DC5"/>
    <w:rsid w:val="000D137F"/>
    <w:rsid w:val="000D14C6"/>
    <w:rsid w:val="000D1827"/>
    <w:rsid w:val="000D27CF"/>
    <w:rsid w:val="000D2C0F"/>
    <w:rsid w:val="000D34D1"/>
    <w:rsid w:val="000D35C2"/>
    <w:rsid w:val="000D3710"/>
    <w:rsid w:val="000D371D"/>
    <w:rsid w:val="000D4D29"/>
    <w:rsid w:val="000D55D4"/>
    <w:rsid w:val="000D61D5"/>
    <w:rsid w:val="000D7DC3"/>
    <w:rsid w:val="000E06DC"/>
    <w:rsid w:val="000E0783"/>
    <w:rsid w:val="000E166F"/>
    <w:rsid w:val="000E1A64"/>
    <w:rsid w:val="000E1E02"/>
    <w:rsid w:val="000E218F"/>
    <w:rsid w:val="000E251F"/>
    <w:rsid w:val="000E2C0F"/>
    <w:rsid w:val="000E30B7"/>
    <w:rsid w:val="000E328B"/>
    <w:rsid w:val="000E3339"/>
    <w:rsid w:val="000E33E1"/>
    <w:rsid w:val="000E352E"/>
    <w:rsid w:val="000E3AD3"/>
    <w:rsid w:val="000E5032"/>
    <w:rsid w:val="000E5AD1"/>
    <w:rsid w:val="000E723E"/>
    <w:rsid w:val="000E734D"/>
    <w:rsid w:val="000E776E"/>
    <w:rsid w:val="000E7B4C"/>
    <w:rsid w:val="000F0149"/>
    <w:rsid w:val="000F027D"/>
    <w:rsid w:val="000F124B"/>
    <w:rsid w:val="000F1B9B"/>
    <w:rsid w:val="000F2D4F"/>
    <w:rsid w:val="000F2E1B"/>
    <w:rsid w:val="000F2E9E"/>
    <w:rsid w:val="000F31AB"/>
    <w:rsid w:val="000F32AC"/>
    <w:rsid w:val="000F3D57"/>
    <w:rsid w:val="000F401F"/>
    <w:rsid w:val="000F49C5"/>
    <w:rsid w:val="000F4AA4"/>
    <w:rsid w:val="000F4C06"/>
    <w:rsid w:val="000F55D9"/>
    <w:rsid w:val="000F5894"/>
    <w:rsid w:val="000F5A79"/>
    <w:rsid w:val="000F624A"/>
    <w:rsid w:val="000F6523"/>
    <w:rsid w:val="000F6989"/>
    <w:rsid w:val="000F6B31"/>
    <w:rsid w:val="000F72DD"/>
    <w:rsid w:val="000F7BC8"/>
    <w:rsid w:val="00100318"/>
    <w:rsid w:val="0010049F"/>
    <w:rsid w:val="00100C43"/>
    <w:rsid w:val="00100D72"/>
    <w:rsid w:val="00101F77"/>
    <w:rsid w:val="001022A5"/>
    <w:rsid w:val="00102574"/>
    <w:rsid w:val="00102E82"/>
    <w:rsid w:val="001037F0"/>
    <w:rsid w:val="001038F3"/>
    <w:rsid w:val="00103D58"/>
    <w:rsid w:val="00103DEC"/>
    <w:rsid w:val="0010484C"/>
    <w:rsid w:val="0010487B"/>
    <w:rsid w:val="00104ACB"/>
    <w:rsid w:val="00104DEA"/>
    <w:rsid w:val="00105F52"/>
    <w:rsid w:val="0010637E"/>
    <w:rsid w:val="001063C0"/>
    <w:rsid w:val="00106554"/>
    <w:rsid w:val="00106645"/>
    <w:rsid w:val="00106BF3"/>
    <w:rsid w:val="00106E67"/>
    <w:rsid w:val="00107988"/>
    <w:rsid w:val="0011013F"/>
    <w:rsid w:val="001104BC"/>
    <w:rsid w:val="00110B37"/>
    <w:rsid w:val="00110E6F"/>
    <w:rsid w:val="00111041"/>
    <w:rsid w:val="00111977"/>
    <w:rsid w:val="00111BD6"/>
    <w:rsid w:val="00111C90"/>
    <w:rsid w:val="00113074"/>
    <w:rsid w:val="0011345D"/>
    <w:rsid w:val="00114305"/>
    <w:rsid w:val="001149A0"/>
    <w:rsid w:val="00115C15"/>
    <w:rsid w:val="001160AB"/>
    <w:rsid w:val="0011637C"/>
    <w:rsid w:val="0011658E"/>
    <w:rsid w:val="00117407"/>
    <w:rsid w:val="0011770C"/>
    <w:rsid w:val="00117D93"/>
    <w:rsid w:val="00120203"/>
    <w:rsid w:val="00120B2D"/>
    <w:rsid w:val="00121722"/>
    <w:rsid w:val="0012196F"/>
    <w:rsid w:val="00121CE9"/>
    <w:rsid w:val="00121FBB"/>
    <w:rsid w:val="001221BD"/>
    <w:rsid w:val="00122200"/>
    <w:rsid w:val="0012244F"/>
    <w:rsid w:val="001225AB"/>
    <w:rsid w:val="00122C5F"/>
    <w:rsid w:val="00122E3C"/>
    <w:rsid w:val="00122F1F"/>
    <w:rsid w:val="0012320E"/>
    <w:rsid w:val="00123521"/>
    <w:rsid w:val="00123A63"/>
    <w:rsid w:val="00123B8D"/>
    <w:rsid w:val="00123CA6"/>
    <w:rsid w:val="00123F5B"/>
    <w:rsid w:val="0012408E"/>
    <w:rsid w:val="0012439F"/>
    <w:rsid w:val="0012476A"/>
    <w:rsid w:val="00124780"/>
    <w:rsid w:val="0012486E"/>
    <w:rsid w:val="00125860"/>
    <w:rsid w:val="00125CD4"/>
    <w:rsid w:val="00126A56"/>
    <w:rsid w:val="001301F0"/>
    <w:rsid w:val="00130266"/>
    <w:rsid w:val="00130368"/>
    <w:rsid w:val="001304A1"/>
    <w:rsid w:val="00130B7F"/>
    <w:rsid w:val="00131010"/>
    <w:rsid w:val="0013197C"/>
    <w:rsid w:val="00131C86"/>
    <w:rsid w:val="00131F24"/>
    <w:rsid w:val="00132F19"/>
    <w:rsid w:val="00132FB9"/>
    <w:rsid w:val="00133818"/>
    <w:rsid w:val="00133AB9"/>
    <w:rsid w:val="00133FBC"/>
    <w:rsid w:val="00134E06"/>
    <w:rsid w:val="001352D8"/>
    <w:rsid w:val="001353F3"/>
    <w:rsid w:val="00135C92"/>
    <w:rsid w:val="00136620"/>
    <w:rsid w:val="0013679B"/>
    <w:rsid w:val="00137DBC"/>
    <w:rsid w:val="00137F9A"/>
    <w:rsid w:val="00137FCF"/>
    <w:rsid w:val="0014040B"/>
    <w:rsid w:val="00140FDD"/>
    <w:rsid w:val="001418B0"/>
    <w:rsid w:val="00141B9E"/>
    <w:rsid w:val="00141F92"/>
    <w:rsid w:val="001421D8"/>
    <w:rsid w:val="0014266B"/>
    <w:rsid w:val="00142A93"/>
    <w:rsid w:val="00144500"/>
    <w:rsid w:val="001448D7"/>
    <w:rsid w:val="0014514F"/>
    <w:rsid w:val="00145568"/>
    <w:rsid w:val="00145623"/>
    <w:rsid w:val="0014567F"/>
    <w:rsid w:val="00145BD8"/>
    <w:rsid w:val="00145EEA"/>
    <w:rsid w:val="001461F5"/>
    <w:rsid w:val="00146743"/>
    <w:rsid w:val="00146E29"/>
    <w:rsid w:val="0014721D"/>
    <w:rsid w:val="00147D54"/>
    <w:rsid w:val="0015201D"/>
    <w:rsid w:val="001523F2"/>
    <w:rsid w:val="001524BF"/>
    <w:rsid w:val="00152726"/>
    <w:rsid w:val="0015276F"/>
    <w:rsid w:val="00153219"/>
    <w:rsid w:val="0015385A"/>
    <w:rsid w:val="00153864"/>
    <w:rsid w:val="00153CBC"/>
    <w:rsid w:val="00154613"/>
    <w:rsid w:val="00154C16"/>
    <w:rsid w:val="0015525A"/>
    <w:rsid w:val="001559FA"/>
    <w:rsid w:val="00156115"/>
    <w:rsid w:val="001567CF"/>
    <w:rsid w:val="00156AE3"/>
    <w:rsid w:val="00156BCB"/>
    <w:rsid w:val="0015791F"/>
    <w:rsid w:val="00160073"/>
    <w:rsid w:val="0016016A"/>
    <w:rsid w:val="00160691"/>
    <w:rsid w:val="00160916"/>
    <w:rsid w:val="00160FF0"/>
    <w:rsid w:val="001615B9"/>
    <w:rsid w:val="00161988"/>
    <w:rsid w:val="00161DB4"/>
    <w:rsid w:val="00161FC4"/>
    <w:rsid w:val="001632BC"/>
    <w:rsid w:val="0016387F"/>
    <w:rsid w:val="00163E15"/>
    <w:rsid w:val="00164495"/>
    <w:rsid w:val="00164BB2"/>
    <w:rsid w:val="00164EA6"/>
    <w:rsid w:val="00166393"/>
    <w:rsid w:val="001664A1"/>
    <w:rsid w:val="00166729"/>
    <w:rsid w:val="001669D6"/>
    <w:rsid w:val="00166B0A"/>
    <w:rsid w:val="0016771B"/>
    <w:rsid w:val="0016787A"/>
    <w:rsid w:val="00167E20"/>
    <w:rsid w:val="00170877"/>
    <w:rsid w:val="00170D48"/>
    <w:rsid w:val="00170E2F"/>
    <w:rsid w:val="00171227"/>
    <w:rsid w:val="001714DF"/>
    <w:rsid w:val="00172645"/>
    <w:rsid w:val="001736E8"/>
    <w:rsid w:val="001739C1"/>
    <w:rsid w:val="001747ED"/>
    <w:rsid w:val="00174F29"/>
    <w:rsid w:val="00176100"/>
    <w:rsid w:val="0017627B"/>
    <w:rsid w:val="00176C45"/>
    <w:rsid w:val="00176F9B"/>
    <w:rsid w:val="0017721B"/>
    <w:rsid w:val="00180059"/>
    <w:rsid w:val="001804EC"/>
    <w:rsid w:val="0018145B"/>
    <w:rsid w:val="00181631"/>
    <w:rsid w:val="001819C6"/>
    <w:rsid w:val="001819E1"/>
    <w:rsid w:val="00181A18"/>
    <w:rsid w:val="00181A8A"/>
    <w:rsid w:val="00182871"/>
    <w:rsid w:val="00182AA9"/>
    <w:rsid w:val="00182FE5"/>
    <w:rsid w:val="001830DB"/>
    <w:rsid w:val="0018339F"/>
    <w:rsid w:val="001833CF"/>
    <w:rsid w:val="001833F9"/>
    <w:rsid w:val="001834D6"/>
    <w:rsid w:val="00183A8F"/>
    <w:rsid w:val="00183B0C"/>
    <w:rsid w:val="00183C68"/>
    <w:rsid w:val="00184215"/>
    <w:rsid w:val="001842C9"/>
    <w:rsid w:val="0018469A"/>
    <w:rsid w:val="001848D4"/>
    <w:rsid w:val="001851A3"/>
    <w:rsid w:val="001853EC"/>
    <w:rsid w:val="001868B5"/>
    <w:rsid w:val="00187900"/>
    <w:rsid w:val="001917EA"/>
    <w:rsid w:val="001920B0"/>
    <w:rsid w:val="00192511"/>
    <w:rsid w:val="001928BD"/>
    <w:rsid w:val="001931AB"/>
    <w:rsid w:val="001937D2"/>
    <w:rsid w:val="00193AE0"/>
    <w:rsid w:val="00194AF7"/>
    <w:rsid w:val="00194C4E"/>
    <w:rsid w:val="00194CE0"/>
    <w:rsid w:val="00195B0F"/>
    <w:rsid w:val="00195F0C"/>
    <w:rsid w:val="001967F1"/>
    <w:rsid w:val="00197030"/>
    <w:rsid w:val="0019704E"/>
    <w:rsid w:val="00197259"/>
    <w:rsid w:val="00197A1A"/>
    <w:rsid w:val="00197B12"/>
    <w:rsid w:val="001A0AFD"/>
    <w:rsid w:val="001A156F"/>
    <w:rsid w:val="001A17FF"/>
    <w:rsid w:val="001A194C"/>
    <w:rsid w:val="001A1E2A"/>
    <w:rsid w:val="001A1E56"/>
    <w:rsid w:val="001A2117"/>
    <w:rsid w:val="001A2814"/>
    <w:rsid w:val="001A3893"/>
    <w:rsid w:val="001A3DA5"/>
    <w:rsid w:val="001A4075"/>
    <w:rsid w:val="001A40DD"/>
    <w:rsid w:val="001A48CF"/>
    <w:rsid w:val="001A4B20"/>
    <w:rsid w:val="001A5587"/>
    <w:rsid w:val="001A5AB5"/>
    <w:rsid w:val="001A6251"/>
    <w:rsid w:val="001A672F"/>
    <w:rsid w:val="001A6BB4"/>
    <w:rsid w:val="001A6F56"/>
    <w:rsid w:val="001A7D82"/>
    <w:rsid w:val="001B022B"/>
    <w:rsid w:val="001B07A9"/>
    <w:rsid w:val="001B09CA"/>
    <w:rsid w:val="001B0EA1"/>
    <w:rsid w:val="001B0EB3"/>
    <w:rsid w:val="001B0F3C"/>
    <w:rsid w:val="001B0FE5"/>
    <w:rsid w:val="001B1335"/>
    <w:rsid w:val="001B195B"/>
    <w:rsid w:val="001B1B34"/>
    <w:rsid w:val="001B1C68"/>
    <w:rsid w:val="001B2552"/>
    <w:rsid w:val="001B2E41"/>
    <w:rsid w:val="001B2FE2"/>
    <w:rsid w:val="001B3E37"/>
    <w:rsid w:val="001B407C"/>
    <w:rsid w:val="001B42A3"/>
    <w:rsid w:val="001B46C3"/>
    <w:rsid w:val="001B4E19"/>
    <w:rsid w:val="001B5092"/>
    <w:rsid w:val="001B558A"/>
    <w:rsid w:val="001B5816"/>
    <w:rsid w:val="001B5841"/>
    <w:rsid w:val="001B5F1B"/>
    <w:rsid w:val="001B65C8"/>
    <w:rsid w:val="001B758B"/>
    <w:rsid w:val="001B75E8"/>
    <w:rsid w:val="001C0112"/>
    <w:rsid w:val="001C1D8D"/>
    <w:rsid w:val="001C23B7"/>
    <w:rsid w:val="001C274C"/>
    <w:rsid w:val="001C2F89"/>
    <w:rsid w:val="001C31AD"/>
    <w:rsid w:val="001C327B"/>
    <w:rsid w:val="001C39EA"/>
    <w:rsid w:val="001C3B48"/>
    <w:rsid w:val="001C3D65"/>
    <w:rsid w:val="001C409D"/>
    <w:rsid w:val="001C4112"/>
    <w:rsid w:val="001C4374"/>
    <w:rsid w:val="001C4DBD"/>
    <w:rsid w:val="001C54C8"/>
    <w:rsid w:val="001C5662"/>
    <w:rsid w:val="001C57DB"/>
    <w:rsid w:val="001C63B6"/>
    <w:rsid w:val="001C654F"/>
    <w:rsid w:val="001C6A9C"/>
    <w:rsid w:val="001C6BDF"/>
    <w:rsid w:val="001C7E7E"/>
    <w:rsid w:val="001D0AC3"/>
    <w:rsid w:val="001D1241"/>
    <w:rsid w:val="001D141D"/>
    <w:rsid w:val="001D181A"/>
    <w:rsid w:val="001D198F"/>
    <w:rsid w:val="001D2008"/>
    <w:rsid w:val="001D21A9"/>
    <w:rsid w:val="001D2551"/>
    <w:rsid w:val="001D31FC"/>
    <w:rsid w:val="001D41F0"/>
    <w:rsid w:val="001D45B3"/>
    <w:rsid w:val="001D51B1"/>
    <w:rsid w:val="001D52A6"/>
    <w:rsid w:val="001D5927"/>
    <w:rsid w:val="001D5E50"/>
    <w:rsid w:val="001D67D2"/>
    <w:rsid w:val="001E005E"/>
    <w:rsid w:val="001E1340"/>
    <w:rsid w:val="001E13CC"/>
    <w:rsid w:val="001E1AEB"/>
    <w:rsid w:val="001E1FE6"/>
    <w:rsid w:val="001E3923"/>
    <w:rsid w:val="001E3D29"/>
    <w:rsid w:val="001E3F5E"/>
    <w:rsid w:val="001E4282"/>
    <w:rsid w:val="001E4609"/>
    <w:rsid w:val="001E4939"/>
    <w:rsid w:val="001E4CE9"/>
    <w:rsid w:val="001E55F1"/>
    <w:rsid w:val="001E5AAD"/>
    <w:rsid w:val="001E5DD3"/>
    <w:rsid w:val="001E5ECC"/>
    <w:rsid w:val="001E6671"/>
    <w:rsid w:val="001E6D40"/>
    <w:rsid w:val="001E7AA6"/>
    <w:rsid w:val="001E7DAA"/>
    <w:rsid w:val="001E7F79"/>
    <w:rsid w:val="001F0F36"/>
    <w:rsid w:val="001F1683"/>
    <w:rsid w:val="001F18C7"/>
    <w:rsid w:val="001F19EA"/>
    <w:rsid w:val="001F230C"/>
    <w:rsid w:val="001F2B79"/>
    <w:rsid w:val="001F37FF"/>
    <w:rsid w:val="001F4172"/>
    <w:rsid w:val="001F4942"/>
    <w:rsid w:val="001F4F2F"/>
    <w:rsid w:val="001F5240"/>
    <w:rsid w:val="001F53BE"/>
    <w:rsid w:val="001F6C4C"/>
    <w:rsid w:val="001F7687"/>
    <w:rsid w:val="001F77F5"/>
    <w:rsid w:val="002004E3"/>
    <w:rsid w:val="002004FB"/>
    <w:rsid w:val="00200F72"/>
    <w:rsid w:val="00201310"/>
    <w:rsid w:val="00201CBD"/>
    <w:rsid w:val="002020F6"/>
    <w:rsid w:val="00202339"/>
    <w:rsid w:val="00202573"/>
    <w:rsid w:val="0020259F"/>
    <w:rsid w:val="0020283E"/>
    <w:rsid w:val="00202B98"/>
    <w:rsid w:val="0020312E"/>
    <w:rsid w:val="0020423E"/>
    <w:rsid w:val="0020490D"/>
    <w:rsid w:val="0020518D"/>
    <w:rsid w:val="002055AC"/>
    <w:rsid w:val="00205D83"/>
    <w:rsid w:val="0020632E"/>
    <w:rsid w:val="002066BD"/>
    <w:rsid w:val="00206D54"/>
    <w:rsid w:val="00207145"/>
    <w:rsid w:val="00207545"/>
    <w:rsid w:val="00207719"/>
    <w:rsid w:val="002079B3"/>
    <w:rsid w:val="0021074E"/>
    <w:rsid w:val="002108AD"/>
    <w:rsid w:val="002109ED"/>
    <w:rsid w:val="00211223"/>
    <w:rsid w:val="00211C26"/>
    <w:rsid w:val="00212043"/>
    <w:rsid w:val="00212195"/>
    <w:rsid w:val="00213E02"/>
    <w:rsid w:val="0021402A"/>
    <w:rsid w:val="002145D6"/>
    <w:rsid w:val="002146ED"/>
    <w:rsid w:val="00214BE4"/>
    <w:rsid w:val="002155EB"/>
    <w:rsid w:val="00215C66"/>
    <w:rsid w:val="00216190"/>
    <w:rsid w:val="0021668C"/>
    <w:rsid w:val="00216B38"/>
    <w:rsid w:val="00216C40"/>
    <w:rsid w:val="00216DEF"/>
    <w:rsid w:val="00217C24"/>
    <w:rsid w:val="00217DC6"/>
    <w:rsid w:val="00220266"/>
    <w:rsid w:val="00220536"/>
    <w:rsid w:val="00220DE3"/>
    <w:rsid w:val="00222B16"/>
    <w:rsid w:val="002232E1"/>
    <w:rsid w:val="002234BF"/>
    <w:rsid w:val="00223A6E"/>
    <w:rsid w:val="00224388"/>
    <w:rsid w:val="002244A7"/>
    <w:rsid w:val="00224687"/>
    <w:rsid w:val="002246A1"/>
    <w:rsid w:val="00224D25"/>
    <w:rsid w:val="00225488"/>
    <w:rsid w:val="002256D8"/>
    <w:rsid w:val="00225C31"/>
    <w:rsid w:val="00225CB0"/>
    <w:rsid w:val="00226100"/>
    <w:rsid w:val="0022617B"/>
    <w:rsid w:val="00227FF6"/>
    <w:rsid w:val="0023029D"/>
    <w:rsid w:val="00230A39"/>
    <w:rsid w:val="00230BD6"/>
    <w:rsid w:val="00231026"/>
    <w:rsid w:val="0023103F"/>
    <w:rsid w:val="00231398"/>
    <w:rsid w:val="00231B4F"/>
    <w:rsid w:val="00231B7A"/>
    <w:rsid w:val="002324DC"/>
    <w:rsid w:val="00232E26"/>
    <w:rsid w:val="00232EA3"/>
    <w:rsid w:val="0023433B"/>
    <w:rsid w:val="002347FF"/>
    <w:rsid w:val="00235055"/>
    <w:rsid w:val="0023544F"/>
    <w:rsid w:val="00235E4C"/>
    <w:rsid w:val="002360A9"/>
    <w:rsid w:val="00236178"/>
    <w:rsid w:val="00236674"/>
    <w:rsid w:val="002374BE"/>
    <w:rsid w:val="002377A9"/>
    <w:rsid w:val="002401EE"/>
    <w:rsid w:val="002403A4"/>
    <w:rsid w:val="00240A7A"/>
    <w:rsid w:val="00241B5E"/>
    <w:rsid w:val="00241FBA"/>
    <w:rsid w:val="00242025"/>
    <w:rsid w:val="002431AA"/>
    <w:rsid w:val="0024349D"/>
    <w:rsid w:val="00243E6F"/>
    <w:rsid w:val="00243EBA"/>
    <w:rsid w:val="00243EE1"/>
    <w:rsid w:val="00243FF6"/>
    <w:rsid w:val="0024498A"/>
    <w:rsid w:val="002452CF"/>
    <w:rsid w:val="00245661"/>
    <w:rsid w:val="00245B8C"/>
    <w:rsid w:val="00246136"/>
    <w:rsid w:val="00246632"/>
    <w:rsid w:val="00246B3B"/>
    <w:rsid w:val="00247A45"/>
    <w:rsid w:val="0025026C"/>
    <w:rsid w:val="002504AD"/>
    <w:rsid w:val="00250DAE"/>
    <w:rsid w:val="00250F0E"/>
    <w:rsid w:val="002512EC"/>
    <w:rsid w:val="00251440"/>
    <w:rsid w:val="00251B43"/>
    <w:rsid w:val="00252418"/>
    <w:rsid w:val="002538EC"/>
    <w:rsid w:val="0025406A"/>
    <w:rsid w:val="00254189"/>
    <w:rsid w:val="002549D5"/>
    <w:rsid w:val="00254A97"/>
    <w:rsid w:val="00254FD2"/>
    <w:rsid w:val="002550F7"/>
    <w:rsid w:val="002556B0"/>
    <w:rsid w:val="0025600A"/>
    <w:rsid w:val="0025619D"/>
    <w:rsid w:val="002571DE"/>
    <w:rsid w:val="002575E2"/>
    <w:rsid w:val="002579FE"/>
    <w:rsid w:val="00257C2D"/>
    <w:rsid w:val="00257C63"/>
    <w:rsid w:val="00260725"/>
    <w:rsid w:val="002609A1"/>
    <w:rsid w:val="00260D71"/>
    <w:rsid w:val="00261071"/>
    <w:rsid w:val="00261307"/>
    <w:rsid w:val="002615AC"/>
    <w:rsid w:val="00261792"/>
    <w:rsid w:val="002619E4"/>
    <w:rsid w:val="00261AD1"/>
    <w:rsid w:val="00262652"/>
    <w:rsid w:val="00263457"/>
    <w:rsid w:val="00263499"/>
    <w:rsid w:val="0026379A"/>
    <w:rsid w:val="00263D81"/>
    <w:rsid w:val="00264138"/>
    <w:rsid w:val="00264E16"/>
    <w:rsid w:val="00264E94"/>
    <w:rsid w:val="00265F35"/>
    <w:rsid w:val="00266472"/>
    <w:rsid w:val="002667C4"/>
    <w:rsid w:val="00266BBE"/>
    <w:rsid w:val="00266E99"/>
    <w:rsid w:val="0026744C"/>
    <w:rsid w:val="00267659"/>
    <w:rsid w:val="002679F1"/>
    <w:rsid w:val="00267E51"/>
    <w:rsid w:val="002715AC"/>
    <w:rsid w:val="00272247"/>
    <w:rsid w:val="002722DD"/>
    <w:rsid w:val="00272731"/>
    <w:rsid w:val="00272EB0"/>
    <w:rsid w:val="00273443"/>
    <w:rsid w:val="002737DB"/>
    <w:rsid w:val="0027380C"/>
    <w:rsid w:val="00273C6B"/>
    <w:rsid w:val="00273DCD"/>
    <w:rsid w:val="00276055"/>
    <w:rsid w:val="00276086"/>
    <w:rsid w:val="002760E9"/>
    <w:rsid w:val="0027642C"/>
    <w:rsid w:val="0027714B"/>
    <w:rsid w:val="002771B2"/>
    <w:rsid w:val="00277A0A"/>
    <w:rsid w:val="00280317"/>
    <w:rsid w:val="00281A4E"/>
    <w:rsid w:val="00281B8A"/>
    <w:rsid w:val="00281E9B"/>
    <w:rsid w:val="00282604"/>
    <w:rsid w:val="002827C4"/>
    <w:rsid w:val="0028281A"/>
    <w:rsid w:val="00282949"/>
    <w:rsid w:val="00282C7C"/>
    <w:rsid w:val="00282D19"/>
    <w:rsid w:val="00282DE8"/>
    <w:rsid w:val="00282FBA"/>
    <w:rsid w:val="0028335E"/>
    <w:rsid w:val="0028346E"/>
    <w:rsid w:val="00284504"/>
    <w:rsid w:val="002848AB"/>
    <w:rsid w:val="00284976"/>
    <w:rsid w:val="00284F23"/>
    <w:rsid w:val="0028585C"/>
    <w:rsid w:val="00285C1F"/>
    <w:rsid w:val="00285FB3"/>
    <w:rsid w:val="00285FEB"/>
    <w:rsid w:val="00286062"/>
    <w:rsid w:val="00286335"/>
    <w:rsid w:val="00286A03"/>
    <w:rsid w:val="0028778A"/>
    <w:rsid w:val="00287C5F"/>
    <w:rsid w:val="00287D66"/>
    <w:rsid w:val="00291065"/>
    <w:rsid w:val="00291400"/>
    <w:rsid w:val="00291B21"/>
    <w:rsid w:val="00292529"/>
    <w:rsid w:val="00292E40"/>
    <w:rsid w:val="00293052"/>
    <w:rsid w:val="00294001"/>
    <w:rsid w:val="002940F1"/>
    <w:rsid w:val="002959DB"/>
    <w:rsid w:val="002962B9"/>
    <w:rsid w:val="00296810"/>
    <w:rsid w:val="00296DF0"/>
    <w:rsid w:val="00296FA4"/>
    <w:rsid w:val="00296FE3"/>
    <w:rsid w:val="0029734A"/>
    <w:rsid w:val="00297688"/>
    <w:rsid w:val="002978F2"/>
    <w:rsid w:val="002A08E7"/>
    <w:rsid w:val="002A0BA7"/>
    <w:rsid w:val="002A148A"/>
    <w:rsid w:val="002A1B3B"/>
    <w:rsid w:val="002A2282"/>
    <w:rsid w:val="002A276F"/>
    <w:rsid w:val="002A32EC"/>
    <w:rsid w:val="002A3E64"/>
    <w:rsid w:val="002A425D"/>
    <w:rsid w:val="002A45B3"/>
    <w:rsid w:val="002A53D2"/>
    <w:rsid w:val="002A6E38"/>
    <w:rsid w:val="002A6E82"/>
    <w:rsid w:val="002A6FEB"/>
    <w:rsid w:val="002A733C"/>
    <w:rsid w:val="002A7408"/>
    <w:rsid w:val="002A744F"/>
    <w:rsid w:val="002A7748"/>
    <w:rsid w:val="002A779C"/>
    <w:rsid w:val="002B0210"/>
    <w:rsid w:val="002B0F09"/>
    <w:rsid w:val="002B130E"/>
    <w:rsid w:val="002B1E43"/>
    <w:rsid w:val="002B1E5A"/>
    <w:rsid w:val="002B1E61"/>
    <w:rsid w:val="002B2675"/>
    <w:rsid w:val="002B2792"/>
    <w:rsid w:val="002B2AA6"/>
    <w:rsid w:val="002B2C26"/>
    <w:rsid w:val="002B2F04"/>
    <w:rsid w:val="002B3208"/>
    <w:rsid w:val="002B4311"/>
    <w:rsid w:val="002B43B2"/>
    <w:rsid w:val="002B47F7"/>
    <w:rsid w:val="002B4866"/>
    <w:rsid w:val="002B48A9"/>
    <w:rsid w:val="002B5B3D"/>
    <w:rsid w:val="002B5C83"/>
    <w:rsid w:val="002B68E4"/>
    <w:rsid w:val="002B6A97"/>
    <w:rsid w:val="002B6C10"/>
    <w:rsid w:val="002B7069"/>
    <w:rsid w:val="002B751D"/>
    <w:rsid w:val="002B767D"/>
    <w:rsid w:val="002B7D55"/>
    <w:rsid w:val="002C009E"/>
    <w:rsid w:val="002C0902"/>
    <w:rsid w:val="002C17D3"/>
    <w:rsid w:val="002C19D3"/>
    <w:rsid w:val="002C1CD4"/>
    <w:rsid w:val="002C250A"/>
    <w:rsid w:val="002C2904"/>
    <w:rsid w:val="002C2F03"/>
    <w:rsid w:val="002C3646"/>
    <w:rsid w:val="002C39DE"/>
    <w:rsid w:val="002C3AF3"/>
    <w:rsid w:val="002C3BD7"/>
    <w:rsid w:val="002C3E5E"/>
    <w:rsid w:val="002C4604"/>
    <w:rsid w:val="002C47B7"/>
    <w:rsid w:val="002C5BDD"/>
    <w:rsid w:val="002C5CC4"/>
    <w:rsid w:val="002C5ECD"/>
    <w:rsid w:val="002C6846"/>
    <w:rsid w:val="002C6D8D"/>
    <w:rsid w:val="002C6FA3"/>
    <w:rsid w:val="002C7E06"/>
    <w:rsid w:val="002C7F0E"/>
    <w:rsid w:val="002D0E2E"/>
    <w:rsid w:val="002D0EFE"/>
    <w:rsid w:val="002D1F5B"/>
    <w:rsid w:val="002D41A1"/>
    <w:rsid w:val="002D49FC"/>
    <w:rsid w:val="002D58E7"/>
    <w:rsid w:val="002D6326"/>
    <w:rsid w:val="002D6825"/>
    <w:rsid w:val="002D6FA2"/>
    <w:rsid w:val="002D7D60"/>
    <w:rsid w:val="002E0322"/>
    <w:rsid w:val="002E0F1D"/>
    <w:rsid w:val="002E10E6"/>
    <w:rsid w:val="002E169E"/>
    <w:rsid w:val="002E1FEC"/>
    <w:rsid w:val="002E2128"/>
    <w:rsid w:val="002E26C3"/>
    <w:rsid w:val="002E4AEE"/>
    <w:rsid w:val="002E53D0"/>
    <w:rsid w:val="002E6A57"/>
    <w:rsid w:val="002E70FC"/>
    <w:rsid w:val="002E7BAB"/>
    <w:rsid w:val="002F076C"/>
    <w:rsid w:val="002F0928"/>
    <w:rsid w:val="002F1A35"/>
    <w:rsid w:val="002F1CEC"/>
    <w:rsid w:val="002F1CF4"/>
    <w:rsid w:val="002F2914"/>
    <w:rsid w:val="002F2FEE"/>
    <w:rsid w:val="002F31B8"/>
    <w:rsid w:val="002F31F9"/>
    <w:rsid w:val="002F3597"/>
    <w:rsid w:val="002F3882"/>
    <w:rsid w:val="002F41BD"/>
    <w:rsid w:val="002F4D77"/>
    <w:rsid w:val="002F4E8F"/>
    <w:rsid w:val="002F4F9E"/>
    <w:rsid w:val="002F513D"/>
    <w:rsid w:val="002F51B1"/>
    <w:rsid w:val="002F53BE"/>
    <w:rsid w:val="002F5650"/>
    <w:rsid w:val="002F5726"/>
    <w:rsid w:val="002F57F4"/>
    <w:rsid w:val="002F5DA4"/>
    <w:rsid w:val="002F5F9C"/>
    <w:rsid w:val="002F6059"/>
    <w:rsid w:val="002F655F"/>
    <w:rsid w:val="002F6616"/>
    <w:rsid w:val="002F7197"/>
    <w:rsid w:val="002F764C"/>
    <w:rsid w:val="002F7ED0"/>
    <w:rsid w:val="0030006A"/>
    <w:rsid w:val="003004AC"/>
    <w:rsid w:val="00301131"/>
    <w:rsid w:val="00301473"/>
    <w:rsid w:val="00302247"/>
    <w:rsid w:val="00302E71"/>
    <w:rsid w:val="0030459B"/>
    <w:rsid w:val="00304DC3"/>
    <w:rsid w:val="00305805"/>
    <w:rsid w:val="00305960"/>
    <w:rsid w:val="00305A12"/>
    <w:rsid w:val="00305A93"/>
    <w:rsid w:val="00305BFC"/>
    <w:rsid w:val="00306720"/>
    <w:rsid w:val="00307115"/>
    <w:rsid w:val="0030767F"/>
    <w:rsid w:val="003076F8"/>
    <w:rsid w:val="00307CCA"/>
    <w:rsid w:val="00307D6E"/>
    <w:rsid w:val="00310442"/>
    <w:rsid w:val="0031076D"/>
    <w:rsid w:val="003107FE"/>
    <w:rsid w:val="003110CF"/>
    <w:rsid w:val="003113DE"/>
    <w:rsid w:val="003116BB"/>
    <w:rsid w:val="003119FE"/>
    <w:rsid w:val="00311AC4"/>
    <w:rsid w:val="00311DED"/>
    <w:rsid w:val="003125EB"/>
    <w:rsid w:val="003126C8"/>
    <w:rsid w:val="003133B7"/>
    <w:rsid w:val="0031345A"/>
    <w:rsid w:val="00313E1E"/>
    <w:rsid w:val="003142D0"/>
    <w:rsid w:val="003146BA"/>
    <w:rsid w:val="003148AF"/>
    <w:rsid w:val="00314B25"/>
    <w:rsid w:val="00315ACC"/>
    <w:rsid w:val="00315D14"/>
    <w:rsid w:val="00316587"/>
    <w:rsid w:val="00316DC7"/>
    <w:rsid w:val="00317F86"/>
    <w:rsid w:val="0032066C"/>
    <w:rsid w:val="00321220"/>
    <w:rsid w:val="0032180D"/>
    <w:rsid w:val="0032196F"/>
    <w:rsid w:val="00321D87"/>
    <w:rsid w:val="00323A30"/>
    <w:rsid w:val="00323AFD"/>
    <w:rsid w:val="00324275"/>
    <w:rsid w:val="003242D5"/>
    <w:rsid w:val="0032681B"/>
    <w:rsid w:val="00327121"/>
    <w:rsid w:val="0032756B"/>
    <w:rsid w:val="00327755"/>
    <w:rsid w:val="003304F9"/>
    <w:rsid w:val="0033141A"/>
    <w:rsid w:val="003320DF"/>
    <w:rsid w:val="0033213B"/>
    <w:rsid w:val="0033225B"/>
    <w:rsid w:val="00333555"/>
    <w:rsid w:val="003339F6"/>
    <w:rsid w:val="00333F19"/>
    <w:rsid w:val="00334001"/>
    <w:rsid w:val="00334C14"/>
    <w:rsid w:val="00334DCC"/>
    <w:rsid w:val="00335360"/>
    <w:rsid w:val="003359D2"/>
    <w:rsid w:val="0033651B"/>
    <w:rsid w:val="00336793"/>
    <w:rsid w:val="003372B7"/>
    <w:rsid w:val="0034029E"/>
    <w:rsid w:val="003404F9"/>
    <w:rsid w:val="0034050C"/>
    <w:rsid w:val="003406DD"/>
    <w:rsid w:val="003407D7"/>
    <w:rsid w:val="003421C0"/>
    <w:rsid w:val="00342873"/>
    <w:rsid w:val="00342BE5"/>
    <w:rsid w:val="00342CA6"/>
    <w:rsid w:val="00342D52"/>
    <w:rsid w:val="00342FBC"/>
    <w:rsid w:val="00343422"/>
    <w:rsid w:val="003441E3"/>
    <w:rsid w:val="00344597"/>
    <w:rsid w:val="003446B5"/>
    <w:rsid w:val="003447F0"/>
    <w:rsid w:val="003448A7"/>
    <w:rsid w:val="00344A24"/>
    <w:rsid w:val="003452F9"/>
    <w:rsid w:val="003453FF"/>
    <w:rsid w:val="00345722"/>
    <w:rsid w:val="00345DEC"/>
    <w:rsid w:val="0034628F"/>
    <w:rsid w:val="00347715"/>
    <w:rsid w:val="003478AB"/>
    <w:rsid w:val="00347984"/>
    <w:rsid w:val="00350FF4"/>
    <w:rsid w:val="003512B1"/>
    <w:rsid w:val="0035170A"/>
    <w:rsid w:val="00351899"/>
    <w:rsid w:val="003518D0"/>
    <w:rsid w:val="00351AB7"/>
    <w:rsid w:val="00351DF6"/>
    <w:rsid w:val="00353038"/>
    <w:rsid w:val="003532B0"/>
    <w:rsid w:val="003535FD"/>
    <w:rsid w:val="003539FF"/>
    <w:rsid w:val="00353B13"/>
    <w:rsid w:val="00353B27"/>
    <w:rsid w:val="00353B3D"/>
    <w:rsid w:val="00353C6E"/>
    <w:rsid w:val="00354094"/>
    <w:rsid w:val="00354470"/>
    <w:rsid w:val="00354512"/>
    <w:rsid w:val="00354A91"/>
    <w:rsid w:val="00354D5F"/>
    <w:rsid w:val="00355451"/>
    <w:rsid w:val="00355E66"/>
    <w:rsid w:val="0035603A"/>
    <w:rsid w:val="0035609E"/>
    <w:rsid w:val="00356221"/>
    <w:rsid w:val="003565A8"/>
    <w:rsid w:val="00356743"/>
    <w:rsid w:val="0035676D"/>
    <w:rsid w:val="0036043C"/>
    <w:rsid w:val="003607B7"/>
    <w:rsid w:val="00360FB6"/>
    <w:rsid w:val="00361759"/>
    <w:rsid w:val="0036182F"/>
    <w:rsid w:val="00361E56"/>
    <w:rsid w:val="00362374"/>
    <w:rsid w:val="00363029"/>
    <w:rsid w:val="00363371"/>
    <w:rsid w:val="00363665"/>
    <w:rsid w:val="003638D7"/>
    <w:rsid w:val="003639DE"/>
    <w:rsid w:val="00363B30"/>
    <w:rsid w:val="00363C46"/>
    <w:rsid w:val="00363DC2"/>
    <w:rsid w:val="0036411F"/>
    <w:rsid w:val="00364205"/>
    <w:rsid w:val="003644A7"/>
    <w:rsid w:val="003644A8"/>
    <w:rsid w:val="0036480D"/>
    <w:rsid w:val="00364C04"/>
    <w:rsid w:val="003655C9"/>
    <w:rsid w:val="00365B74"/>
    <w:rsid w:val="00365BAE"/>
    <w:rsid w:val="003669C6"/>
    <w:rsid w:val="003672F1"/>
    <w:rsid w:val="0036738F"/>
    <w:rsid w:val="0036742E"/>
    <w:rsid w:val="00367A96"/>
    <w:rsid w:val="00367F7B"/>
    <w:rsid w:val="003718EC"/>
    <w:rsid w:val="00371D2A"/>
    <w:rsid w:val="00372549"/>
    <w:rsid w:val="00372B94"/>
    <w:rsid w:val="00372E31"/>
    <w:rsid w:val="003732D0"/>
    <w:rsid w:val="003736F2"/>
    <w:rsid w:val="00373A4F"/>
    <w:rsid w:val="00373CE2"/>
    <w:rsid w:val="00374263"/>
    <w:rsid w:val="00374521"/>
    <w:rsid w:val="003746CD"/>
    <w:rsid w:val="0037481E"/>
    <w:rsid w:val="0037509B"/>
    <w:rsid w:val="0037541B"/>
    <w:rsid w:val="00375CBE"/>
    <w:rsid w:val="00375F4A"/>
    <w:rsid w:val="003761B8"/>
    <w:rsid w:val="003761FC"/>
    <w:rsid w:val="0037683E"/>
    <w:rsid w:val="00376CF0"/>
    <w:rsid w:val="003770A0"/>
    <w:rsid w:val="00377825"/>
    <w:rsid w:val="00377FB8"/>
    <w:rsid w:val="0038063E"/>
    <w:rsid w:val="003806AA"/>
    <w:rsid w:val="00380D6D"/>
    <w:rsid w:val="00381944"/>
    <w:rsid w:val="00381B19"/>
    <w:rsid w:val="00382313"/>
    <w:rsid w:val="00384903"/>
    <w:rsid w:val="00384A72"/>
    <w:rsid w:val="003858E8"/>
    <w:rsid w:val="00386F6C"/>
    <w:rsid w:val="003870FC"/>
    <w:rsid w:val="0038777F"/>
    <w:rsid w:val="00391467"/>
    <w:rsid w:val="00391B32"/>
    <w:rsid w:val="00391B69"/>
    <w:rsid w:val="00392274"/>
    <w:rsid w:val="00392364"/>
    <w:rsid w:val="00392B15"/>
    <w:rsid w:val="003945E5"/>
    <w:rsid w:val="00395535"/>
    <w:rsid w:val="00396466"/>
    <w:rsid w:val="00396F6F"/>
    <w:rsid w:val="00397171"/>
    <w:rsid w:val="00397186"/>
    <w:rsid w:val="00397546"/>
    <w:rsid w:val="0039780C"/>
    <w:rsid w:val="003A00D8"/>
    <w:rsid w:val="003A02BF"/>
    <w:rsid w:val="003A0985"/>
    <w:rsid w:val="003A0A70"/>
    <w:rsid w:val="003A2C24"/>
    <w:rsid w:val="003A34AB"/>
    <w:rsid w:val="003A41A0"/>
    <w:rsid w:val="003A50D5"/>
    <w:rsid w:val="003A5342"/>
    <w:rsid w:val="003A5424"/>
    <w:rsid w:val="003A5D44"/>
    <w:rsid w:val="003A6327"/>
    <w:rsid w:val="003A6CD9"/>
    <w:rsid w:val="003A6D0D"/>
    <w:rsid w:val="003A75D1"/>
    <w:rsid w:val="003A767A"/>
    <w:rsid w:val="003A77D3"/>
    <w:rsid w:val="003A7E39"/>
    <w:rsid w:val="003B0462"/>
    <w:rsid w:val="003B1811"/>
    <w:rsid w:val="003B184E"/>
    <w:rsid w:val="003B1936"/>
    <w:rsid w:val="003B2076"/>
    <w:rsid w:val="003B2477"/>
    <w:rsid w:val="003B2DF4"/>
    <w:rsid w:val="003B2E87"/>
    <w:rsid w:val="003B3586"/>
    <w:rsid w:val="003B38AF"/>
    <w:rsid w:val="003B3C1D"/>
    <w:rsid w:val="003B41ED"/>
    <w:rsid w:val="003B46FB"/>
    <w:rsid w:val="003B4C89"/>
    <w:rsid w:val="003B4CE9"/>
    <w:rsid w:val="003B57FA"/>
    <w:rsid w:val="003B5BB1"/>
    <w:rsid w:val="003B60BD"/>
    <w:rsid w:val="003B615A"/>
    <w:rsid w:val="003B6838"/>
    <w:rsid w:val="003B6A38"/>
    <w:rsid w:val="003B7661"/>
    <w:rsid w:val="003B7833"/>
    <w:rsid w:val="003C0540"/>
    <w:rsid w:val="003C1300"/>
    <w:rsid w:val="003C153C"/>
    <w:rsid w:val="003C1D7C"/>
    <w:rsid w:val="003C3161"/>
    <w:rsid w:val="003C3A1A"/>
    <w:rsid w:val="003C3A2F"/>
    <w:rsid w:val="003C41DC"/>
    <w:rsid w:val="003C41E3"/>
    <w:rsid w:val="003C47F3"/>
    <w:rsid w:val="003C5601"/>
    <w:rsid w:val="003C5631"/>
    <w:rsid w:val="003C58C2"/>
    <w:rsid w:val="003C6486"/>
    <w:rsid w:val="003C64B3"/>
    <w:rsid w:val="003C67DB"/>
    <w:rsid w:val="003C69E7"/>
    <w:rsid w:val="003C6F62"/>
    <w:rsid w:val="003C7AEA"/>
    <w:rsid w:val="003D0109"/>
    <w:rsid w:val="003D027D"/>
    <w:rsid w:val="003D0801"/>
    <w:rsid w:val="003D16E6"/>
    <w:rsid w:val="003D1BB8"/>
    <w:rsid w:val="003D20D7"/>
    <w:rsid w:val="003D2501"/>
    <w:rsid w:val="003D2AFC"/>
    <w:rsid w:val="003D3419"/>
    <w:rsid w:val="003D396C"/>
    <w:rsid w:val="003D3D2C"/>
    <w:rsid w:val="003D3F31"/>
    <w:rsid w:val="003D4D9D"/>
    <w:rsid w:val="003D4FFD"/>
    <w:rsid w:val="003D503C"/>
    <w:rsid w:val="003D5946"/>
    <w:rsid w:val="003D5BE1"/>
    <w:rsid w:val="003D5CD5"/>
    <w:rsid w:val="003D5E1E"/>
    <w:rsid w:val="003D6966"/>
    <w:rsid w:val="003D6D70"/>
    <w:rsid w:val="003D6E3C"/>
    <w:rsid w:val="003D706C"/>
    <w:rsid w:val="003D71EB"/>
    <w:rsid w:val="003D76FB"/>
    <w:rsid w:val="003D79A1"/>
    <w:rsid w:val="003E0294"/>
    <w:rsid w:val="003E0A24"/>
    <w:rsid w:val="003E0B80"/>
    <w:rsid w:val="003E0C30"/>
    <w:rsid w:val="003E0EB0"/>
    <w:rsid w:val="003E1F1B"/>
    <w:rsid w:val="003E2ADE"/>
    <w:rsid w:val="003E3A9F"/>
    <w:rsid w:val="003E3FFE"/>
    <w:rsid w:val="003E445A"/>
    <w:rsid w:val="003E49EF"/>
    <w:rsid w:val="003E4AFA"/>
    <w:rsid w:val="003E4C59"/>
    <w:rsid w:val="003E4E9A"/>
    <w:rsid w:val="003E52EB"/>
    <w:rsid w:val="003E558E"/>
    <w:rsid w:val="003E562C"/>
    <w:rsid w:val="003E5C01"/>
    <w:rsid w:val="003E5CD9"/>
    <w:rsid w:val="003E61B6"/>
    <w:rsid w:val="003E6A74"/>
    <w:rsid w:val="003E6AAE"/>
    <w:rsid w:val="003E6DFC"/>
    <w:rsid w:val="003E7968"/>
    <w:rsid w:val="003E7FAF"/>
    <w:rsid w:val="003F03FE"/>
    <w:rsid w:val="003F05D9"/>
    <w:rsid w:val="003F0802"/>
    <w:rsid w:val="003F0AE9"/>
    <w:rsid w:val="003F10CF"/>
    <w:rsid w:val="003F1375"/>
    <w:rsid w:val="003F1498"/>
    <w:rsid w:val="003F14BC"/>
    <w:rsid w:val="003F1B2D"/>
    <w:rsid w:val="003F1C2C"/>
    <w:rsid w:val="003F1D27"/>
    <w:rsid w:val="003F35A5"/>
    <w:rsid w:val="003F3EE7"/>
    <w:rsid w:val="003F41FF"/>
    <w:rsid w:val="003F4435"/>
    <w:rsid w:val="003F664B"/>
    <w:rsid w:val="003F68CA"/>
    <w:rsid w:val="003F6C43"/>
    <w:rsid w:val="003F6CFB"/>
    <w:rsid w:val="003F72E0"/>
    <w:rsid w:val="003F7301"/>
    <w:rsid w:val="003F7602"/>
    <w:rsid w:val="003F77D3"/>
    <w:rsid w:val="003F7B79"/>
    <w:rsid w:val="00400B17"/>
    <w:rsid w:val="004018F7"/>
    <w:rsid w:val="00401927"/>
    <w:rsid w:val="004021F6"/>
    <w:rsid w:val="004025C7"/>
    <w:rsid w:val="004028FD"/>
    <w:rsid w:val="00403C29"/>
    <w:rsid w:val="0040435F"/>
    <w:rsid w:val="00405C1A"/>
    <w:rsid w:val="004064A8"/>
    <w:rsid w:val="00406C3B"/>
    <w:rsid w:val="00406FE3"/>
    <w:rsid w:val="004076E2"/>
    <w:rsid w:val="004102D4"/>
    <w:rsid w:val="00410CB1"/>
    <w:rsid w:val="00410CC7"/>
    <w:rsid w:val="00411A5D"/>
    <w:rsid w:val="00411A98"/>
    <w:rsid w:val="00411C37"/>
    <w:rsid w:val="00412ACD"/>
    <w:rsid w:val="00413558"/>
    <w:rsid w:val="00413B23"/>
    <w:rsid w:val="004146BF"/>
    <w:rsid w:val="00414D0C"/>
    <w:rsid w:val="0041578B"/>
    <w:rsid w:val="00415D73"/>
    <w:rsid w:val="00415EE6"/>
    <w:rsid w:val="00416407"/>
    <w:rsid w:val="00416DC8"/>
    <w:rsid w:val="00417764"/>
    <w:rsid w:val="00420BBF"/>
    <w:rsid w:val="00420D5E"/>
    <w:rsid w:val="004210E9"/>
    <w:rsid w:val="004213D4"/>
    <w:rsid w:val="00421512"/>
    <w:rsid w:val="004215A5"/>
    <w:rsid w:val="00421765"/>
    <w:rsid w:val="00421BA9"/>
    <w:rsid w:val="0042211B"/>
    <w:rsid w:val="0042246E"/>
    <w:rsid w:val="00422B3F"/>
    <w:rsid w:val="00422CED"/>
    <w:rsid w:val="00422F68"/>
    <w:rsid w:val="0042340F"/>
    <w:rsid w:val="004235F9"/>
    <w:rsid w:val="00423A0A"/>
    <w:rsid w:val="00423C1D"/>
    <w:rsid w:val="00423F82"/>
    <w:rsid w:val="004241DF"/>
    <w:rsid w:val="00424739"/>
    <w:rsid w:val="00424E1E"/>
    <w:rsid w:val="0042524C"/>
    <w:rsid w:val="004259B1"/>
    <w:rsid w:val="00426501"/>
    <w:rsid w:val="004272E9"/>
    <w:rsid w:val="004273FE"/>
    <w:rsid w:val="00430C14"/>
    <w:rsid w:val="00430C8C"/>
    <w:rsid w:val="00430F9D"/>
    <w:rsid w:val="004316AD"/>
    <w:rsid w:val="00431768"/>
    <w:rsid w:val="004317B3"/>
    <w:rsid w:val="0043235B"/>
    <w:rsid w:val="004327EB"/>
    <w:rsid w:val="004329A9"/>
    <w:rsid w:val="00432E95"/>
    <w:rsid w:val="004334B0"/>
    <w:rsid w:val="00434AAB"/>
    <w:rsid w:val="004358CF"/>
    <w:rsid w:val="00436462"/>
    <w:rsid w:val="00436C34"/>
    <w:rsid w:val="004375C9"/>
    <w:rsid w:val="0043766D"/>
    <w:rsid w:val="00437C7C"/>
    <w:rsid w:val="00437FE6"/>
    <w:rsid w:val="004407FD"/>
    <w:rsid w:val="0044088A"/>
    <w:rsid w:val="004416BF"/>
    <w:rsid w:val="00442505"/>
    <w:rsid w:val="00442F95"/>
    <w:rsid w:val="00443DA9"/>
    <w:rsid w:val="00444145"/>
    <w:rsid w:val="00444591"/>
    <w:rsid w:val="004446FC"/>
    <w:rsid w:val="00444A6C"/>
    <w:rsid w:val="00445AC4"/>
    <w:rsid w:val="00446FF0"/>
    <w:rsid w:val="004502E4"/>
    <w:rsid w:val="0045093A"/>
    <w:rsid w:val="004510F4"/>
    <w:rsid w:val="004513BE"/>
    <w:rsid w:val="00451AD1"/>
    <w:rsid w:val="00451B1C"/>
    <w:rsid w:val="00451FB6"/>
    <w:rsid w:val="004522A7"/>
    <w:rsid w:val="004525FD"/>
    <w:rsid w:val="00452981"/>
    <w:rsid w:val="00452A0E"/>
    <w:rsid w:val="00452E1D"/>
    <w:rsid w:val="00452E8B"/>
    <w:rsid w:val="00454088"/>
    <w:rsid w:val="00455754"/>
    <w:rsid w:val="00455D3B"/>
    <w:rsid w:val="0045608F"/>
    <w:rsid w:val="00456270"/>
    <w:rsid w:val="0045632C"/>
    <w:rsid w:val="00456A50"/>
    <w:rsid w:val="0045790E"/>
    <w:rsid w:val="00457E50"/>
    <w:rsid w:val="004603AC"/>
    <w:rsid w:val="0046057B"/>
    <w:rsid w:val="004606C8"/>
    <w:rsid w:val="00460DFA"/>
    <w:rsid w:val="00460FF0"/>
    <w:rsid w:val="00461D38"/>
    <w:rsid w:val="00462703"/>
    <w:rsid w:val="004634DB"/>
    <w:rsid w:val="004642D2"/>
    <w:rsid w:val="00464318"/>
    <w:rsid w:val="00465689"/>
    <w:rsid w:val="004662D4"/>
    <w:rsid w:val="004662FA"/>
    <w:rsid w:val="004664D5"/>
    <w:rsid w:val="00467743"/>
    <w:rsid w:val="00470171"/>
    <w:rsid w:val="0047062D"/>
    <w:rsid w:val="00470B61"/>
    <w:rsid w:val="00470B7E"/>
    <w:rsid w:val="00471472"/>
    <w:rsid w:val="00471F75"/>
    <w:rsid w:val="004720CC"/>
    <w:rsid w:val="00472539"/>
    <w:rsid w:val="00472A5F"/>
    <w:rsid w:val="00473406"/>
    <w:rsid w:val="00473807"/>
    <w:rsid w:val="00473C7E"/>
    <w:rsid w:val="00474ED6"/>
    <w:rsid w:val="004752FB"/>
    <w:rsid w:val="00475FB0"/>
    <w:rsid w:val="00476464"/>
    <w:rsid w:val="004766EF"/>
    <w:rsid w:val="00476738"/>
    <w:rsid w:val="00476876"/>
    <w:rsid w:val="00477C9D"/>
    <w:rsid w:val="0048015F"/>
    <w:rsid w:val="0048069A"/>
    <w:rsid w:val="00481575"/>
    <w:rsid w:val="0048224E"/>
    <w:rsid w:val="00482AA7"/>
    <w:rsid w:val="00482E93"/>
    <w:rsid w:val="00483139"/>
    <w:rsid w:val="004834A7"/>
    <w:rsid w:val="00483896"/>
    <w:rsid w:val="00483B9E"/>
    <w:rsid w:val="00483C19"/>
    <w:rsid w:val="00484103"/>
    <w:rsid w:val="00484C8F"/>
    <w:rsid w:val="00485057"/>
    <w:rsid w:val="004850D6"/>
    <w:rsid w:val="00485CCE"/>
    <w:rsid w:val="004865BE"/>
    <w:rsid w:val="00486B61"/>
    <w:rsid w:val="00487038"/>
    <w:rsid w:val="004871F9"/>
    <w:rsid w:val="004873E7"/>
    <w:rsid w:val="00487516"/>
    <w:rsid w:val="004876CE"/>
    <w:rsid w:val="004878D8"/>
    <w:rsid w:val="00487AD3"/>
    <w:rsid w:val="004902D6"/>
    <w:rsid w:val="0049035B"/>
    <w:rsid w:val="00490E18"/>
    <w:rsid w:val="00491899"/>
    <w:rsid w:val="0049194E"/>
    <w:rsid w:val="00491E77"/>
    <w:rsid w:val="004927A4"/>
    <w:rsid w:val="004928F9"/>
    <w:rsid w:val="00492E92"/>
    <w:rsid w:val="004931AE"/>
    <w:rsid w:val="00493C37"/>
    <w:rsid w:val="00493D1C"/>
    <w:rsid w:val="00493D6B"/>
    <w:rsid w:val="00494724"/>
    <w:rsid w:val="00494F25"/>
    <w:rsid w:val="0049505E"/>
    <w:rsid w:val="00495282"/>
    <w:rsid w:val="004959EF"/>
    <w:rsid w:val="00495BCD"/>
    <w:rsid w:val="00495C4E"/>
    <w:rsid w:val="00495D94"/>
    <w:rsid w:val="00495EDD"/>
    <w:rsid w:val="00496562"/>
    <w:rsid w:val="0049707E"/>
    <w:rsid w:val="004977A0"/>
    <w:rsid w:val="00497D74"/>
    <w:rsid w:val="004A000D"/>
    <w:rsid w:val="004A0E41"/>
    <w:rsid w:val="004A0E6A"/>
    <w:rsid w:val="004A12AA"/>
    <w:rsid w:val="004A1B53"/>
    <w:rsid w:val="004A2155"/>
    <w:rsid w:val="004A2D91"/>
    <w:rsid w:val="004A3CD9"/>
    <w:rsid w:val="004A4075"/>
    <w:rsid w:val="004A4C64"/>
    <w:rsid w:val="004A4C70"/>
    <w:rsid w:val="004A5179"/>
    <w:rsid w:val="004A56B4"/>
    <w:rsid w:val="004A70B6"/>
    <w:rsid w:val="004A74E8"/>
    <w:rsid w:val="004A7CB5"/>
    <w:rsid w:val="004A7E2C"/>
    <w:rsid w:val="004B00BA"/>
    <w:rsid w:val="004B0711"/>
    <w:rsid w:val="004B07DD"/>
    <w:rsid w:val="004B0AE8"/>
    <w:rsid w:val="004B0E21"/>
    <w:rsid w:val="004B16D8"/>
    <w:rsid w:val="004B1908"/>
    <w:rsid w:val="004B27FF"/>
    <w:rsid w:val="004B29F4"/>
    <w:rsid w:val="004B2B10"/>
    <w:rsid w:val="004B36FF"/>
    <w:rsid w:val="004B3D7B"/>
    <w:rsid w:val="004B3E8D"/>
    <w:rsid w:val="004B43A9"/>
    <w:rsid w:val="004B4756"/>
    <w:rsid w:val="004B4869"/>
    <w:rsid w:val="004B4A0E"/>
    <w:rsid w:val="004B4D93"/>
    <w:rsid w:val="004B64BD"/>
    <w:rsid w:val="004B6AF5"/>
    <w:rsid w:val="004B6C3E"/>
    <w:rsid w:val="004B6CD2"/>
    <w:rsid w:val="004B6CF7"/>
    <w:rsid w:val="004B7A66"/>
    <w:rsid w:val="004B7AF5"/>
    <w:rsid w:val="004B7C96"/>
    <w:rsid w:val="004C0AA5"/>
    <w:rsid w:val="004C173A"/>
    <w:rsid w:val="004C341D"/>
    <w:rsid w:val="004C3C93"/>
    <w:rsid w:val="004C4DEF"/>
    <w:rsid w:val="004C4FCE"/>
    <w:rsid w:val="004C5033"/>
    <w:rsid w:val="004C5066"/>
    <w:rsid w:val="004C5254"/>
    <w:rsid w:val="004C5506"/>
    <w:rsid w:val="004C578D"/>
    <w:rsid w:val="004C5923"/>
    <w:rsid w:val="004C5FB4"/>
    <w:rsid w:val="004C618F"/>
    <w:rsid w:val="004C6871"/>
    <w:rsid w:val="004C6D40"/>
    <w:rsid w:val="004C6F50"/>
    <w:rsid w:val="004C71AE"/>
    <w:rsid w:val="004C7BC2"/>
    <w:rsid w:val="004D019C"/>
    <w:rsid w:val="004D025A"/>
    <w:rsid w:val="004D07CD"/>
    <w:rsid w:val="004D0CBC"/>
    <w:rsid w:val="004D1EDF"/>
    <w:rsid w:val="004D278C"/>
    <w:rsid w:val="004D298B"/>
    <w:rsid w:val="004D3A5D"/>
    <w:rsid w:val="004D5433"/>
    <w:rsid w:val="004D55A0"/>
    <w:rsid w:val="004D5B37"/>
    <w:rsid w:val="004D5C09"/>
    <w:rsid w:val="004D5CE4"/>
    <w:rsid w:val="004D65C0"/>
    <w:rsid w:val="004D6E32"/>
    <w:rsid w:val="004D73A9"/>
    <w:rsid w:val="004E0329"/>
    <w:rsid w:val="004E0713"/>
    <w:rsid w:val="004E083F"/>
    <w:rsid w:val="004E0DBF"/>
    <w:rsid w:val="004E1E67"/>
    <w:rsid w:val="004E264C"/>
    <w:rsid w:val="004E2B1D"/>
    <w:rsid w:val="004E3574"/>
    <w:rsid w:val="004E3CC4"/>
    <w:rsid w:val="004E3DE9"/>
    <w:rsid w:val="004E404F"/>
    <w:rsid w:val="004E4125"/>
    <w:rsid w:val="004E4AB9"/>
    <w:rsid w:val="004E4B3D"/>
    <w:rsid w:val="004E6763"/>
    <w:rsid w:val="004E7282"/>
    <w:rsid w:val="004E730B"/>
    <w:rsid w:val="004F0B99"/>
    <w:rsid w:val="004F0F40"/>
    <w:rsid w:val="004F1736"/>
    <w:rsid w:val="004F1D81"/>
    <w:rsid w:val="004F1FA8"/>
    <w:rsid w:val="004F23AC"/>
    <w:rsid w:val="004F24EA"/>
    <w:rsid w:val="004F263D"/>
    <w:rsid w:val="004F37BA"/>
    <w:rsid w:val="004F44E8"/>
    <w:rsid w:val="004F475D"/>
    <w:rsid w:val="004F4A29"/>
    <w:rsid w:val="004F4B72"/>
    <w:rsid w:val="004F5485"/>
    <w:rsid w:val="004F5F78"/>
    <w:rsid w:val="004F5F9E"/>
    <w:rsid w:val="004F6301"/>
    <w:rsid w:val="004F651E"/>
    <w:rsid w:val="004F66F3"/>
    <w:rsid w:val="004F6867"/>
    <w:rsid w:val="004F6D56"/>
    <w:rsid w:val="004F714F"/>
    <w:rsid w:val="004F74C8"/>
    <w:rsid w:val="00500C1C"/>
    <w:rsid w:val="00500FEF"/>
    <w:rsid w:val="00502315"/>
    <w:rsid w:val="00502F8B"/>
    <w:rsid w:val="00503502"/>
    <w:rsid w:val="0050423A"/>
    <w:rsid w:val="0050453A"/>
    <w:rsid w:val="005051D8"/>
    <w:rsid w:val="00505206"/>
    <w:rsid w:val="00505809"/>
    <w:rsid w:val="00506AB4"/>
    <w:rsid w:val="00506FA7"/>
    <w:rsid w:val="00507C8F"/>
    <w:rsid w:val="005102DA"/>
    <w:rsid w:val="005108F1"/>
    <w:rsid w:val="00511615"/>
    <w:rsid w:val="00512443"/>
    <w:rsid w:val="00512578"/>
    <w:rsid w:val="00512652"/>
    <w:rsid w:val="00512977"/>
    <w:rsid w:val="005129A4"/>
    <w:rsid w:val="00512A1E"/>
    <w:rsid w:val="00512F3A"/>
    <w:rsid w:val="00513222"/>
    <w:rsid w:val="00514343"/>
    <w:rsid w:val="00514373"/>
    <w:rsid w:val="005145E6"/>
    <w:rsid w:val="00514A7A"/>
    <w:rsid w:val="00514E13"/>
    <w:rsid w:val="0051621F"/>
    <w:rsid w:val="00516482"/>
    <w:rsid w:val="00516676"/>
    <w:rsid w:val="00516F3E"/>
    <w:rsid w:val="005170C7"/>
    <w:rsid w:val="00517D01"/>
    <w:rsid w:val="00520408"/>
    <w:rsid w:val="0052079A"/>
    <w:rsid w:val="00520B16"/>
    <w:rsid w:val="00520D5C"/>
    <w:rsid w:val="00520E62"/>
    <w:rsid w:val="005210F8"/>
    <w:rsid w:val="0052124C"/>
    <w:rsid w:val="00521404"/>
    <w:rsid w:val="00521626"/>
    <w:rsid w:val="0052162C"/>
    <w:rsid w:val="0052168A"/>
    <w:rsid w:val="00523057"/>
    <w:rsid w:val="00523316"/>
    <w:rsid w:val="00523331"/>
    <w:rsid w:val="005234C9"/>
    <w:rsid w:val="005234F1"/>
    <w:rsid w:val="0052386A"/>
    <w:rsid w:val="0052393E"/>
    <w:rsid w:val="00523CCF"/>
    <w:rsid w:val="00524EDF"/>
    <w:rsid w:val="00524FF3"/>
    <w:rsid w:val="005255A7"/>
    <w:rsid w:val="00525AC3"/>
    <w:rsid w:val="00526947"/>
    <w:rsid w:val="00526D2B"/>
    <w:rsid w:val="00526E68"/>
    <w:rsid w:val="005274E3"/>
    <w:rsid w:val="00530419"/>
    <w:rsid w:val="005304C2"/>
    <w:rsid w:val="005309C6"/>
    <w:rsid w:val="00530CCE"/>
    <w:rsid w:val="0053166E"/>
    <w:rsid w:val="005317AD"/>
    <w:rsid w:val="00532F64"/>
    <w:rsid w:val="005335C9"/>
    <w:rsid w:val="0053372D"/>
    <w:rsid w:val="00533F30"/>
    <w:rsid w:val="0053401C"/>
    <w:rsid w:val="0053432E"/>
    <w:rsid w:val="0053458D"/>
    <w:rsid w:val="00534ADE"/>
    <w:rsid w:val="00534C9F"/>
    <w:rsid w:val="005351BE"/>
    <w:rsid w:val="00535AC5"/>
    <w:rsid w:val="00535DB3"/>
    <w:rsid w:val="00535DC6"/>
    <w:rsid w:val="005371CC"/>
    <w:rsid w:val="00537D6E"/>
    <w:rsid w:val="00537DD0"/>
    <w:rsid w:val="005402B9"/>
    <w:rsid w:val="0054052F"/>
    <w:rsid w:val="005413B1"/>
    <w:rsid w:val="00541444"/>
    <w:rsid w:val="0054167C"/>
    <w:rsid w:val="00541DBC"/>
    <w:rsid w:val="00542AE5"/>
    <w:rsid w:val="00542BE4"/>
    <w:rsid w:val="00543375"/>
    <w:rsid w:val="0054401F"/>
    <w:rsid w:val="005441F0"/>
    <w:rsid w:val="00544C61"/>
    <w:rsid w:val="00544DC7"/>
    <w:rsid w:val="005455C0"/>
    <w:rsid w:val="005475EC"/>
    <w:rsid w:val="00547AA0"/>
    <w:rsid w:val="00547C45"/>
    <w:rsid w:val="00550220"/>
    <w:rsid w:val="0055086D"/>
    <w:rsid w:val="00551F33"/>
    <w:rsid w:val="0055246F"/>
    <w:rsid w:val="00552D45"/>
    <w:rsid w:val="005530CB"/>
    <w:rsid w:val="00553F1C"/>
    <w:rsid w:val="00554709"/>
    <w:rsid w:val="00554EC5"/>
    <w:rsid w:val="005556A7"/>
    <w:rsid w:val="0055574A"/>
    <w:rsid w:val="00555FC6"/>
    <w:rsid w:val="0055638C"/>
    <w:rsid w:val="00556C7B"/>
    <w:rsid w:val="00556D3B"/>
    <w:rsid w:val="00557587"/>
    <w:rsid w:val="0055786A"/>
    <w:rsid w:val="005578C0"/>
    <w:rsid w:val="00557A5A"/>
    <w:rsid w:val="0056032E"/>
    <w:rsid w:val="00560614"/>
    <w:rsid w:val="005606E5"/>
    <w:rsid w:val="0056174E"/>
    <w:rsid w:val="005618C0"/>
    <w:rsid w:val="00561DDB"/>
    <w:rsid w:val="005621B5"/>
    <w:rsid w:val="00562224"/>
    <w:rsid w:val="005634AA"/>
    <w:rsid w:val="00563A1D"/>
    <w:rsid w:val="00563FD5"/>
    <w:rsid w:val="0056472B"/>
    <w:rsid w:val="00564EAA"/>
    <w:rsid w:val="00565090"/>
    <w:rsid w:val="00565489"/>
    <w:rsid w:val="0056589D"/>
    <w:rsid w:val="00565A7C"/>
    <w:rsid w:val="00566A9E"/>
    <w:rsid w:val="00566F75"/>
    <w:rsid w:val="00567543"/>
    <w:rsid w:val="005679F6"/>
    <w:rsid w:val="00567FA8"/>
    <w:rsid w:val="00570A70"/>
    <w:rsid w:val="00570D2F"/>
    <w:rsid w:val="00571325"/>
    <w:rsid w:val="0057186F"/>
    <w:rsid w:val="00571B15"/>
    <w:rsid w:val="00571FA8"/>
    <w:rsid w:val="0057207D"/>
    <w:rsid w:val="00572482"/>
    <w:rsid w:val="00572FDE"/>
    <w:rsid w:val="00573115"/>
    <w:rsid w:val="005733FB"/>
    <w:rsid w:val="00573C00"/>
    <w:rsid w:val="00574246"/>
    <w:rsid w:val="005742D3"/>
    <w:rsid w:val="00574729"/>
    <w:rsid w:val="00574CBB"/>
    <w:rsid w:val="00575415"/>
    <w:rsid w:val="0057623D"/>
    <w:rsid w:val="0057646D"/>
    <w:rsid w:val="005764E1"/>
    <w:rsid w:val="00576B1C"/>
    <w:rsid w:val="00576D5F"/>
    <w:rsid w:val="005775A2"/>
    <w:rsid w:val="005778DE"/>
    <w:rsid w:val="00577AA2"/>
    <w:rsid w:val="00577E83"/>
    <w:rsid w:val="00577F13"/>
    <w:rsid w:val="00581FB2"/>
    <w:rsid w:val="0058306F"/>
    <w:rsid w:val="0058336A"/>
    <w:rsid w:val="00583543"/>
    <w:rsid w:val="00584FE9"/>
    <w:rsid w:val="00585972"/>
    <w:rsid w:val="00585EB2"/>
    <w:rsid w:val="00586998"/>
    <w:rsid w:val="00586FFB"/>
    <w:rsid w:val="005872A8"/>
    <w:rsid w:val="00587481"/>
    <w:rsid w:val="00587CCC"/>
    <w:rsid w:val="00590A28"/>
    <w:rsid w:val="005910D3"/>
    <w:rsid w:val="00591E7E"/>
    <w:rsid w:val="00592662"/>
    <w:rsid w:val="005929A0"/>
    <w:rsid w:val="005930F8"/>
    <w:rsid w:val="0059397A"/>
    <w:rsid w:val="00593B13"/>
    <w:rsid w:val="00593CB9"/>
    <w:rsid w:val="00593D2A"/>
    <w:rsid w:val="00595382"/>
    <w:rsid w:val="00595B88"/>
    <w:rsid w:val="005966AA"/>
    <w:rsid w:val="00596E99"/>
    <w:rsid w:val="00597007"/>
    <w:rsid w:val="005A0309"/>
    <w:rsid w:val="005A0382"/>
    <w:rsid w:val="005A0810"/>
    <w:rsid w:val="005A15EF"/>
    <w:rsid w:val="005A2E44"/>
    <w:rsid w:val="005A2F40"/>
    <w:rsid w:val="005A32BE"/>
    <w:rsid w:val="005A35E0"/>
    <w:rsid w:val="005A3D7A"/>
    <w:rsid w:val="005A45B8"/>
    <w:rsid w:val="005A4989"/>
    <w:rsid w:val="005A4A9E"/>
    <w:rsid w:val="005A4F43"/>
    <w:rsid w:val="005A520E"/>
    <w:rsid w:val="005A5664"/>
    <w:rsid w:val="005A5BCA"/>
    <w:rsid w:val="005A67FA"/>
    <w:rsid w:val="005A702B"/>
    <w:rsid w:val="005A73EA"/>
    <w:rsid w:val="005A7CED"/>
    <w:rsid w:val="005B07BB"/>
    <w:rsid w:val="005B0A56"/>
    <w:rsid w:val="005B1300"/>
    <w:rsid w:val="005B29D1"/>
    <w:rsid w:val="005B32FC"/>
    <w:rsid w:val="005B3836"/>
    <w:rsid w:val="005B3993"/>
    <w:rsid w:val="005B3AFB"/>
    <w:rsid w:val="005B3F9F"/>
    <w:rsid w:val="005B4615"/>
    <w:rsid w:val="005B491C"/>
    <w:rsid w:val="005B5270"/>
    <w:rsid w:val="005B56C9"/>
    <w:rsid w:val="005B6D9C"/>
    <w:rsid w:val="005B79E0"/>
    <w:rsid w:val="005B7E72"/>
    <w:rsid w:val="005C0381"/>
    <w:rsid w:val="005C0498"/>
    <w:rsid w:val="005C10B8"/>
    <w:rsid w:val="005C112C"/>
    <w:rsid w:val="005C138D"/>
    <w:rsid w:val="005C1490"/>
    <w:rsid w:val="005C1788"/>
    <w:rsid w:val="005C210E"/>
    <w:rsid w:val="005C244C"/>
    <w:rsid w:val="005C267C"/>
    <w:rsid w:val="005C3101"/>
    <w:rsid w:val="005C3423"/>
    <w:rsid w:val="005C3C0C"/>
    <w:rsid w:val="005C461F"/>
    <w:rsid w:val="005C484F"/>
    <w:rsid w:val="005C4D50"/>
    <w:rsid w:val="005C4D9D"/>
    <w:rsid w:val="005C5264"/>
    <w:rsid w:val="005C5E44"/>
    <w:rsid w:val="005C5FB5"/>
    <w:rsid w:val="005C6B59"/>
    <w:rsid w:val="005C719E"/>
    <w:rsid w:val="005C7AC3"/>
    <w:rsid w:val="005C7E2F"/>
    <w:rsid w:val="005D04C8"/>
    <w:rsid w:val="005D0719"/>
    <w:rsid w:val="005D0786"/>
    <w:rsid w:val="005D10E1"/>
    <w:rsid w:val="005D1615"/>
    <w:rsid w:val="005D1C4B"/>
    <w:rsid w:val="005D2085"/>
    <w:rsid w:val="005D2123"/>
    <w:rsid w:val="005D255A"/>
    <w:rsid w:val="005D25E6"/>
    <w:rsid w:val="005D33D1"/>
    <w:rsid w:val="005D3CB1"/>
    <w:rsid w:val="005D4358"/>
    <w:rsid w:val="005D4492"/>
    <w:rsid w:val="005D523F"/>
    <w:rsid w:val="005D52AE"/>
    <w:rsid w:val="005D5CFA"/>
    <w:rsid w:val="005D6701"/>
    <w:rsid w:val="005D72FA"/>
    <w:rsid w:val="005D75DF"/>
    <w:rsid w:val="005D7FA1"/>
    <w:rsid w:val="005E097C"/>
    <w:rsid w:val="005E0AC6"/>
    <w:rsid w:val="005E0B1F"/>
    <w:rsid w:val="005E0CD1"/>
    <w:rsid w:val="005E115E"/>
    <w:rsid w:val="005E1E3F"/>
    <w:rsid w:val="005E2023"/>
    <w:rsid w:val="005E3B71"/>
    <w:rsid w:val="005E446D"/>
    <w:rsid w:val="005E50F2"/>
    <w:rsid w:val="005E5C35"/>
    <w:rsid w:val="005E6629"/>
    <w:rsid w:val="005E689A"/>
    <w:rsid w:val="005E6CEB"/>
    <w:rsid w:val="005E6DB1"/>
    <w:rsid w:val="005E704D"/>
    <w:rsid w:val="005E71AB"/>
    <w:rsid w:val="005E760F"/>
    <w:rsid w:val="005E7D93"/>
    <w:rsid w:val="005F055A"/>
    <w:rsid w:val="005F09CC"/>
    <w:rsid w:val="005F25A9"/>
    <w:rsid w:val="005F362E"/>
    <w:rsid w:val="005F3A96"/>
    <w:rsid w:val="005F3B2C"/>
    <w:rsid w:val="005F3FB3"/>
    <w:rsid w:val="005F45CA"/>
    <w:rsid w:val="005F4606"/>
    <w:rsid w:val="005F4994"/>
    <w:rsid w:val="005F4C3B"/>
    <w:rsid w:val="005F4C9E"/>
    <w:rsid w:val="005F53FD"/>
    <w:rsid w:val="005F553C"/>
    <w:rsid w:val="005F5BEA"/>
    <w:rsid w:val="005F5F0A"/>
    <w:rsid w:val="005F5F32"/>
    <w:rsid w:val="005F7282"/>
    <w:rsid w:val="005F75BD"/>
    <w:rsid w:val="005F79D2"/>
    <w:rsid w:val="005F7A54"/>
    <w:rsid w:val="005F7D81"/>
    <w:rsid w:val="00600DA1"/>
    <w:rsid w:val="00601759"/>
    <w:rsid w:val="00601A51"/>
    <w:rsid w:val="00601E10"/>
    <w:rsid w:val="00601FDD"/>
    <w:rsid w:val="00602775"/>
    <w:rsid w:val="0060352A"/>
    <w:rsid w:val="00603E7C"/>
    <w:rsid w:val="00603FBE"/>
    <w:rsid w:val="0060432A"/>
    <w:rsid w:val="00604654"/>
    <w:rsid w:val="00604EEA"/>
    <w:rsid w:val="00605019"/>
    <w:rsid w:val="00605EAC"/>
    <w:rsid w:val="00605F1F"/>
    <w:rsid w:val="00606629"/>
    <w:rsid w:val="006067B9"/>
    <w:rsid w:val="00606A7D"/>
    <w:rsid w:val="006070CD"/>
    <w:rsid w:val="006074F4"/>
    <w:rsid w:val="0060798C"/>
    <w:rsid w:val="006105E4"/>
    <w:rsid w:val="006117BB"/>
    <w:rsid w:val="006117F8"/>
    <w:rsid w:val="006124D1"/>
    <w:rsid w:val="006129D1"/>
    <w:rsid w:val="00612BFF"/>
    <w:rsid w:val="00612F86"/>
    <w:rsid w:val="0061447A"/>
    <w:rsid w:val="006146FB"/>
    <w:rsid w:val="00614ADF"/>
    <w:rsid w:val="00615C51"/>
    <w:rsid w:val="00615CEA"/>
    <w:rsid w:val="00616286"/>
    <w:rsid w:val="006162DE"/>
    <w:rsid w:val="006175F8"/>
    <w:rsid w:val="00617E16"/>
    <w:rsid w:val="00620B79"/>
    <w:rsid w:val="00620F86"/>
    <w:rsid w:val="00621627"/>
    <w:rsid w:val="0062279C"/>
    <w:rsid w:val="006227FF"/>
    <w:rsid w:val="00622B63"/>
    <w:rsid w:val="00623278"/>
    <w:rsid w:val="00623C04"/>
    <w:rsid w:val="00623DC5"/>
    <w:rsid w:val="0062583B"/>
    <w:rsid w:val="006264B0"/>
    <w:rsid w:val="00626A0C"/>
    <w:rsid w:val="00626E4A"/>
    <w:rsid w:val="00627719"/>
    <w:rsid w:val="006305F0"/>
    <w:rsid w:val="00630C9A"/>
    <w:rsid w:val="00630E1E"/>
    <w:rsid w:val="0063112C"/>
    <w:rsid w:val="0063115A"/>
    <w:rsid w:val="006314CC"/>
    <w:rsid w:val="00631B0B"/>
    <w:rsid w:val="00631C96"/>
    <w:rsid w:val="00631E1B"/>
    <w:rsid w:val="00631F9B"/>
    <w:rsid w:val="0063217B"/>
    <w:rsid w:val="0063254F"/>
    <w:rsid w:val="006325CB"/>
    <w:rsid w:val="00632AAC"/>
    <w:rsid w:val="00632C8E"/>
    <w:rsid w:val="00632F9D"/>
    <w:rsid w:val="00633243"/>
    <w:rsid w:val="006337FB"/>
    <w:rsid w:val="00633C59"/>
    <w:rsid w:val="0063497B"/>
    <w:rsid w:val="006349BB"/>
    <w:rsid w:val="00634FAF"/>
    <w:rsid w:val="006351A2"/>
    <w:rsid w:val="006358DC"/>
    <w:rsid w:val="0063607A"/>
    <w:rsid w:val="00636538"/>
    <w:rsid w:val="00636ABC"/>
    <w:rsid w:val="00636C5D"/>
    <w:rsid w:val="00636E74"/>
    <w:rsid w:val="00640C07"/>
    <w:rsid w:val="006412F6"/>
    <w:rsid w:val="006419E6"/>
    <w:rsid w:val="00642368"/>
    <w:rsid w:val="00642447"/>
    <w:rsid w:val="006435BA"/>
    <w:rsid w:val="00643E02"/>
    <w:rsid w:val="006443E4"/>
    <w:rsid w:val="00644A77"/>
    <w:rsid w:val="006464C9"/>
    <w:rsid w:val="00647C99"/>
    <w:rsid w:val="006503C5"/>
    <w:rsid w:val="00650C6B"/>
    <w:rsid w:val="0065137D"/>
    <w:rsid w:val="00651AF3"/>
    <w:rsid w:val="0065226B"/>
    <w:rsid w:val="00652484"/>
    <w:rsid w:val="006529DB"/>
    <w:rsid w:val="00652C5A"/>
    <w:rsid w:val="00652E60"/>
    <w:rsid w:val="006547F9"/>
    <w:rsid w:val="00654BBF"/>
    <w:rsid w:val="00654E19"/>
    <w:rsid w:val="00655752"/>
    <w:rsid w:val="006557F9"/>
    <w:rsid w:val="006559F9"/>
    <w:rsid w:val="0065659A"/>
    <w:rsid w:val="00656B91"/>
    <w:rsid w:val="00657414"/>
    <w:rsid w:val="006577C5"/>
    <w:rsid w:val="00657CB8"/>
    <w:rsid w:val="006603A4"/>
    <w:rsid w:val="00660556"/>
    <w:rsid w:val="00660A2E"/>
    <w:rsid w:val="0066188E"/>
    <w:rsid w:val="00661A83"/>
    <w:rsid w:val="00662CF7"/>
    <w:rsid w:val="00663D88"/>
    <w:rsid w:val="00663FEA"/>
    <w:rsid w:val="0066445C"/>
    <w:rsid w:val="00664777"/>
    <w:rsid w:val="006647F4"/>
    <w:rsid w:val="00664AFF"/>
    <w:rsid w:val="00665467"/>
    <w:rsid w:val="00665BE5"/>
    <w:rsid w:val="00665CEC"/>
    <w:rsid w:val="006662CD"/>
    <w:rsid w:val="00666A6F"/>
    <w:rsid w:val="00666D66"/>
    <w:rsid w:val="00667010"/>
    <w:rsid w:val="0066714B"/>
    <w:rsid w:val="00667670"/>
    <w:rsid w:val="0067028F"/>
    <w:rsid w:val="0067045D"/>
    <w:rsid w:val="00670502"/>
    <w:rsid w:val="00670517"/>
    <w:rsid w:val="00670664"/>
    <w:rsid w:val="00671044"/>
    <w:rsid w:val="006716BD"/>
    <w:rsid w:val="006717E1"/>
    <w:rsid w:val="00671AD1"/>
    <w:rsid w:val="00671C49"/>
    <w:rsid w:val="006728B8"/>
    <w:rsid w:val="00672EAE"/>
    <w:rsid w:val="0067303D"/>
    <w:rsid w:val="0067339B"/>
    <w:rsid w:val="00673934"/>
    <w:rsid w:val="006739EF"/>
    <w:rsid w:val="0067439F"/>
    <w:rsid w:val="00674518"/>
    <w:rsid w:val="00674794"/>
    <w:rsid w:val="00674A2D"/>
    <w:rsid w:val="006750EC"/>
    <w:rsid w:val="006755E0"/>
    <w:rsid w:val="0067685D"/>
    <w:rsid w:val="00676D78"/>
    <w:rsid w:val="00676E6B"/>
    <w:rsid w:val="006772CD"/>
    <w:rsid w:val="00677442"/>
    <w:rsid w:val="00677EFC"/>
    <w:rsid w:val="0068113A"/>
    <w:rsid w:val="00681D06"/>
    <w:rsid w:val="0068209D"/>
    <w:rsid w:val="006822FA"/>
    <w:rsid w:val="0068288A"/>
    <w:rsid w:val="006828EA"/>
    <w:rsid w:val="006829D6"/>
    <w:rsid w:val="00682F16"/>
    <w:rsid w:val="006832F3"/>
    <w:rsid w:val="00683357"/>
    <w:rsid w:val="006835DF"/>
    <w:rsid w:val="006838B2"/>
    <w:rsid w:val="00683C6E"/>
    <w:rsid w:val="00684182"/>
    <w:rsid w:val="00684309"/>
    <w:rsid w:val="006848FB"/>
    <w:rsid w:val="00684A9D"/>
    <w:rsid w:val="00684CFA"/>
    <w:rsid w:val="006851AC"/>
    <w:rsid w:val="00685622"/>
    <w:rsid w:val="0068569A"/>
    <w:rsid w:val="00685C87"/>
    <w:rsid w:val="00685D6D"/>
    <w:rsid w:val="0068613E"/>
    <w:rsid w:val="00686518"/>
    <w:rsid w:val="00686C91"/>
    <w:rsid w:val="006872E3"/>
    <w:rsid w:val="006875B6"/>
    <w:rsid w:val="0068765B"/>
    <w:rsid w:val="006876AE"/>
    <w:rsid w:val="00690EE5"/>
    <w:rsid w:val="006912C1"/>
    <w:rsid w:val="0069147D"/>
    <w:rsid w:val="00691C54"/>
    <w:rsid w:val="006922C5"/>
    <w:rsid w:val="006925FD"/>
    <w:rsid w:val="00692B11"/>
    <w:rsid w:val="00692C06"/>
    <w:rsid w:val="0069409B"/>
    <w:rsid w:val="0069429A"/>
    <w:rsid w:val="0069447F"/>
    <w:rsid w:val="00694CFF"/>
    <w:rsid w:val="00694EE9"/>
    <w:rsid w:val="0069515F"/>
    <w:rsid w:val="0069550A"/>
    <w:rsid w:val="00695DB6"/>
    <w:rsid w:val="00695FE8"/>
    <w:rsid w:val="00695FFA"/>
    <w:rsid w:val="006971BB"/>
    <w:rsid w:val="0069723D"/>
    <w:rsid w:val="00697268"/>
    <w:rsid w:val="006977F9"/>
    <w:rsid w:val="006A0016"/>
    <w:rsid w:val="006A0764"/>
    <w:rsid w:val="006A0DFF"/>
    <w:rsid w:val="006A207E"/>
    <w:rsid w:val="006A2CAC"/>
    <w:rsid w:val="006A2D11"/>
    <w:rsid w:val="006A2D66"/>
    <w:rsid w:val="006A316B"/>
    <w:rsid w:val="006A33A2"/>
    <w:rsid w:val="006A377A"/>
    <w:rsid w:val="006A37B4"/>
    <w:rsid w:val="006A38AC"/>
    <w:rsid w:val="006A3C0B"/>
    <w:rsid w:val="006A4518"/>
    <w:rsid w:val="006A49F5"/>
    <w:rsid w:val="006A51CD"/>
    <w:rsid w:val="006A554A"/>
    <w:rsid w:val="006A5EB9"/>
    <w:rsid w:val="006A69D5"/>
    <w:rsid w:val="006A7089"/>
    <w:rsid w:val="006A75E9"/>
    <w:rsid w:val="006A7D79"/>
    <w:rsid w:val="006A7E32"/>
    <w:rsid w:val="006B02E0"/>
    <w:rsid w:val="006B0351"/>
    <w:rsid w:val="006B08FF"/>
    <w:rsid w:val="006B092D"/>
    <w:rsid w:val="006B0F8B"/>
    <w:rsid w:val="006B124C"/>
    <w:rsid w:val="006B16B9"/>
    <w:rsid w:val="006B194F"/>
    <w:rsid w:val="006B1BBF"/>
    <w:rsid w:val="006B223D"/>
    <w:rsid w:val="006B2567"/>
    <w:rsid w:val="006B2D49"/>
    <w:rsid w:val="006B2FFA"/>
    <w:rsid w:val="006B3176"/>
    <w:rsid w:val="006B3569"/>
    <w:rsid w:val="006B37D0"/>
    <w:rsid w:val="006B398A"/>
    <w:rsid w:val="006B3C24"/>
    <w:rsid w:val="006B3F52"/>
    <w:rsid w:val="006B45E2"/>
    <w:rsid w:val="006B5176"/>
    <w:rsid w:val="006B5C6B"/>
    <w:rsid w:val="006B5CB4"/>
    <w:rsid w:val="006B6577"/>
    <w:rsid w:val="006B6911"/>
    <w:rsid w:val="006B7119"/>
    <w:rsid w:val="006B7194"/>
    <w:rsid w:val="006B7898"/>
    <w:rsid w:val="006B7E0B"/>
    <w:rsid w:val="006C044C"/>
    <w:rsid w:val="006C0E86"/>
    <w:rsid w:val="006C13D1"/>
    <w:rsid w:val="006C141C"/>
    <w:rsid w:val="006C16F7"/>
    <w:rsid w:val="006C1A62"/>
    <w:rsid w:val="006C24CE"/>
    <w:rsid w:val="006C28BF"/>
    <w:rsid w:val="006C3298"/>
    <w:rsid w:val="006C34F2"/>
    <w:rsid w:val="006C4763"/>
    <w:rsid w:val="006C4A7C"/>
    <w:rsid w:val="006C51AA"/>
    <w:rsid w:val="006C524D"/>
    <w:rsid w:val="006C5CDC"/>
    <w:rsid w:val="006C6536"/>
    <w:rsid w:val="006C65C8"/>
    <w:rsid w:val="006C6F06"/>
    <w:rsid w:val="006C7080"/>
    <w:rsid w:val="006C70BF"/>
    <w:rsid w:val="006C738F"/>
    <w:rsid w:val="006C7481"/>
    <w:rsid w:val="006C76A9"/>
    <w:rsid w:val="006C7975"/>
    <w:rsid w:val="006C79A7"/>
    <w:rsid w:val="006C7AF5"/>
    <w:rsid w:val="006D011B"/>
    <w:rsid w:val="006D025E"/>
    <w:rsid w:val="006D033A"/>
    <w:rsid w:val="006D04A9"/>
    <w:rsid w:val="006D0510"/>
    <w:rsid w:val="006D0683"/>
    <w:rsid w:val="006D09A1"/>
    <w:rsid w:val="006D0AD4"/>
    <w:rsid w:val="006D1397"/>
    <w:rsid w:val="006D164D"/>
    <w:rsid w:val="006D1FAC"/>
    <w:rsid w:val="006D2E88"/>
    <w:rsid w:val="006D374E"/>
    <w:rsid w:val="006D37C0"/>
    <w:rsid w:val="006D37E2"/>
    <w:rsid w:val="006D3B36"/>
    <w:rsid w:val="006D3EE1"/>
    <w:rsid w:val="006D44DA"/>
    <w:rsid w:val="006D4D54"/>
    <w:rsid w:val="006D4E31"/>
    <w:rsid w:val="006D5257"/>
    <w:rsid w:val="006D52E0"/>
    <w:rsid w:val="006D538B"/>
    <w:rsid w:val="006D53D4"/>
    <w:rsid w:val="006D551E"/>
    <w:rsid w:val="006D552D"/>
    <w:rsid w:val="006D5D6B"/>
    <w:rsid w:val="006D5EAC"/>
    <w:rsid w:val="006D615E"/>
    <w:rsid w:val="006D6858"/>
    <w:rsid w:val="006D6A14"/>
    <w:rsid w:val="006D71C5"/>
    <w:rsid w:val="006D775F"/>
    <w:rsid w:val="006D77CD"/>
    <w:rsid w:val="006E097C"/>
    <w:rsid w:val="006E0F73"/>
    <w:rsid w:val="006E260A"/>
    <w:rsid w:val="006E2B3E"/>
    <w:rsid w:val="006E2F65"/>
    <w:rsid w:val="006E3634"/>
    <w:rsid w:val="006E3AC1"/>
    <w:rsid w:val="006E3B27"/>
    <w:rsid w:val="006E5344"/>
    <w:rsid w:val="006E5AC7"/>
    <w:rsid w:val="006E6249"/>
    <w:rsid w:val="006E6D83"/>
    <w:rsid w:val="006E6FB2"/>
    <w:rsid w:val="006E77A6"/>
    <w:rsid w:val="006E7ABA"/>
    <w:rsid w:val="006E7FBA"/>
    <w:rsid w:val="006F0EAF"/>
    <w:rsid w:val="006F26F1"/>
    <w:rsid w:val="006F270E"/>
    <w:rsid w:val="006F2AD8"/>
    <w:rsid w:val="006F2BFE"/>
    <w:rsid w:val="006F2C9D"/>
    <w:rsid w:val="006F2D15"/>
    <w:rsid w:val="006F3274"/>
    <w:rsid w:val="006F341E"/>
    <w:rsid w:val="006F38D1"/>
    <w:rsid w:val="006F3B1C"/>
    <w:rsid w:val="006F4432"/>
    <w:rsid w:val="006F4A5A"/>
    <w:rsid w:val="006F4D85"/>
    <w:rsid w:val="006F4E21"/>
    <w:rsid w:val="006F4F2C"/>
    <w:rsid w:val="006F50A6"/>
    <w:rsid w:val="006F56B8"/>
    <w:rsid w:val="006F5A91"/>
    <w:rsid w:val="006F5C0F"/>
    <w:rsid w:val="006F5C15"/>
    <w:rsid w:val="006F76E2"/>
    <w:rsid w:val="006F79CC"/>
    <w:rsid w:val="006F7C11"/>
    <w:rsid w:val="007005A7"/>
    <w:rsid w:val="007011FC"/>
    <w:rsid w:val="00701C2B"/>
    <w:rsid w:val="00702505"/>
    <w:rsid w:val="00702AAA"/>
    <w:rsid w:val="00703368"/>
    <w:rsid w:val="00703372"/>
    <w:rsid w:val="007035F5"/>
    <w:rsid w:val="00703ACD"/>
    <w:rsid w:val="00703BAC"/>
    <w:rsid w:val="007040BE"/>
    <w:rsid w:val="007040C7"/>
    <w:rsid w:val="00704492"/>
    <w:rsid w:val="00704722"/>
    <w:rsid w:val="00704BC4"/>
    <w:rsid w:val="00705105"/>
    <w:rsid w:val="0070608C"/>
    <w:rsid w:val="0070609C"/>
    <w:rsid w:val="00706CD0"/>
    <w:rsid w:val="00707C34"/>
    <w:rsid w:val="0071026F"/>
    <w:rsid w:val="00710418"/>
    <w:rsid w:val="00710CBF"/>
    <w:rsid w:val="007111C8"/>
    <w:rsid w:val="00711351"/>
    <w:rsid w:val="00711377"/>
    <w:rsid w:val="00711526"/>
    <w:rsid w:val="00711852"/>
    <w:rsid w:val="00711E31"/>
    <w:rsid w:val="0071217F"/>
    <w:rsid w:val="0071330F"/>
    <w:rsid w:val="00713894"/>
    <w:rsid w:val="00713DDE"/>
    <w:rsid w:val="00713E72"/>
    <w:rsid w:val="00713E8F"/>
    <w:rsid w:val="00714250"/>
    <w:rsid w:val="007146D7"/>
    <w:rsid w:val="00715EBB"/>
    <w:rsid w:val="007168BF"/>
    <w:rsid w:val="00716A50"/>
    <w:rsid w:val="00716F38"/>
    <w:rsid w:val="00716FC1"/>
    <w:rsid w:val="00717538"/>
    <w:rsid w:val="0071753B"/>
    <w:rsid w:val="0071795B"/>
    <w:rsid w:val="00720A60"/>
    <w:rsid w:val="00720C20"/>
    <w:rsid w:val="00720C2F"/>
    <w:rsid w:val="0072103F"/>
    <w:rsid w:val="00721834"/>
    <w:rsid w:val="00721B1E"/>
    <w:rsid w:val="00722025"/>
    <w:rsid w:val="00722211"/>
    <w:rsid w:val="00722A9E"/>
    <w:rsid w:val="00722D13"/>
    <w:rsid w:val="007231F1"/>
    <w:rsid w:val="00723646"/>
    <w:rsid w:val="007247AE"/>
    <w:rsid w:val="00724865"/>
    <w:rsid w:val="00724A5F"/>
    <w:rsid w:val="00724C25"/>
    <w:rsid w:val="00724E40"/>
    <w:rsid w:val="00725027"/>
    <w:rsid w:val="007250D8"/>
    <w:rsid w:val="00726C00"/>
    <w:rsid w:val="00726DC0"/>
    <w:rsid w:val="00727A71"/>
    <w:rsid w:val="00727CC2"/>
    <w:rsid w:val="00727ED2"/>
    <w:rsid w:val="00730DD5"/>
    <w:rsid w:val="00730E0C"/>
    <w:rsid w:val="0073111D"/>
    <w:rsid w:val="007316E5"/>
    <w:rsid w:val="007318E5"/>
    <w:rsid w:val="00731B95"/>
    <w:rsid w:val="00731EE4"/>
    <w:rsid w:val="0073261C"/>
    <w:rsid w:val="00732AC0"/>
    <w:rsid w:val="00732B61"/>
    <w:rsid w:val="00732CD1"/>
    <w:rsid w:val="007330A1"/>
    <w:rsid w:val="00734987"/>
    <w:rsid w:val="00734D01"/>
    <w:rsid w:val="00735236"/>
    <w:rsid w:val="00735DD4"/>
    <w:rsid w:val="00735E3D"/>
    <w:rsid w:val="0073617E"/>
    <w:rsid w:val="0073650D"/>
    <w:rsid w:val="00736AE4"/>
    <w:rsid w:val="00737354"/>
    <w:rsid w:val="00737774"/>
    <w:rsid w:val="0073783C"/>
    <w:rsid w:val="00737B58"/>
    <w:rsid w:val="00737E26"/>
    <w:rsid w:val="00740963"/>
    <w:rsid w:val="00740E44"/>
    <w:rsid w:val="0074153F"/>
    <w:rsid w:val="007421B5"/>
    <w:rsid w:val="007423AF"/>
    <w:rsid w:val="007423C2"/>
    <w:rsid w:val="00742418"/>
    <w:rsid w:val="0074277A"/>
    <w:rsid w:val="007434ED"/>
    <w:rsid w:val="00743855"/>
    <w:rsid w:val="00743857"/>
    <w:rsid w:val="00743C74"/>
    <w:rsid w:val="00744673"/>
    <w:rsid w:val="00744CC3"/>
    <w:rsid w:val="00744D5B"/>
    <w:rsid w:val="00745543"/>
    <w:rsid w:val="007455C1"/>
    <w:rsid w:val="00745D6A"/>
    <w:rsid w:val="00746292"/>
    <w:rsid w:val="0074759B"/>
    <w:rsid w:val="00750483"/>
    <w:rsid w:val="007504B6"/>
    <w:rsid w:val="0075122B"/>
    <w:rsid w:val="00751536"/>
    <w:rsid w:val="00751C82"/>
    <w:rsid w:val="00752DCC"/>
    <w:rsid w:val="00752FB9"/>
    <w:rsid w:val="00753AB8"/>
    <w:rsid w:val="007545AE"/>
    <w:rsid w:val="00755174"/>
    <w:rsid w:val="00755243"/>
    <w:rsid w:val="007553FE"/>
    <w:rsid w:val="007557C6"/>
    <w:rsid w:val="007559A3"/>
    <w:rsid w:val="00755D6A"/>
    <w:rsid w:val="00755E94"/>
    <w:rsid w:val="00756434"/>
    <w:rsid w:val="00756926"/>
    <w:rsid w:val="00756C93"/>
    <w:rsid w:val="00760664"/>
    <w:rsid w:val="007613E5"/>
    <w:rsid w:val="007616FD"/>
    <w:rsid w:val="007618D3"/>
    <w:rsid w:val="007618FE"/>
    <w:rsid w:val="00761D5E"/>
    <w:rsid w:val="00762A9C"/>
    <w:rsid w:val="00762C2D"/>
    <w:rsid w:val="00763522"/>
    <w:rsid w:val="007639A5"/>
    <w:rsid w:val="00763DA4"/>
    <w:rsid w:val="0076493F"/>
    <w:rsid w:val="00764EC0"/>
    <w:rsid w:val="007654AE"/>
    <w:rsid w:val="00765584"/>
    <w:rsid w:val="0076560D"/>
    <w:rsid w:val="00765750"/>
    <w:rsid w:val="00765D43"/>
    <w:rsid w:val="0076632F"/>
    <w:rsid w:val="007678D3"/>
    <w:rsid w:val="00770452"/>
    <w:rsid w:val="007704E0"/>
    <w:rsid w:val="007708F5"/>
    <w:rsid w:val="00771060"/>
    <w:rsid w:val="007713EA"/>
    <w:rsid w:val="00771473"/>
    <w:rsid w:val="00771486"/>
    <w:rsid w:val="00771770"/>
    <w:rsid w:val="00771EC4"/>
    <w:rsid w:val="00772459"/>
    <w:rsid w:val="00773540"/>
    <w:rsid w:val="007737DB"/>
    <w:rsid w:val="00773E24"/>
    <w:rsid w:val="007750AE"/>
    <w:rsid w:val="00775129"/>
    <w:rsid w:val="00775FC9"/>
    <w:rsid w:val="0077695E"/>
    <w:rsid w:val="00776A7D"/>
    <w:rsid w:val="00777705"/>
    <w:rsid w:val="007779B6"/>
    <w:rsid w:val="0078046D"/>
    <w:rsid w:val="00780884"/>
    <w:rsid w:val="007810C0"/>
    <w:rsid w:val="007811EE"/>
    <w:rsid w:val="007818F2"/>
    <w:rsid w:val="00782360"/>
    <w:rsid w:val="00783640"/>
    <w:rsid w:val="0078440D"/>
    <w:rsid w:val="00785741"/>
    <w:rsid w:val="00785E74"/>
    <w:rsid w:val="007863A0"/>
    <w:rsid w:val="00786450"/>
    <w:rsid w:val="00786EE2"/>
    <w:rsid w:val="0078709E"/>
    <w:rsid w:val="00787425"/>
    <w:rsid w:val="00787CE2"/>
    <w:rsid w:val="00790001"/>
    <w:rsid w:val="00791418"/>
    <w:rsid w:val="0079173C"/>
    <w:rsid w:val="00791CA3"/>
    <w:rsid w:val="0079207A"/>
    <w:rsid w:val="007920EE"/>
    <w:rsid w:val="0079239A"/>
    <w:rsid w:val="00792817"/>
    <w:rsid w:val="00792900"/>
    <w:rsid w:val="00792D0E"/>
    <w:rsid w:val="00792DFB"/>
    <w:rsid w:val="00792F73"/>
    <w:rsid w:val="00793036"/>
    <w:rsid w:val="0079365C"/>
    <w:rsid w:val="00793959"/>
    <w:rsid w:val="00793F39"/>
    <w:rsid w:val="00793F9E"/>
    <w:rsid w:val="007946A3"/>
    <w:rsid w:val="00794787"/>
    <w:rsid w:val="00794801"/>
    <w:rsid w:val="00794B38"/>
    <w:rsid w:val="00794BEB"/>
    <w:rsid w:val="00794C7B"/>
    <w:rsid w:val="00794F72"/>
    <w:rsid w:val="00794FB6"/>
    <w:rsid w:val="00795037"/>
    <w:rsid w:val="0079592C"/>
    <w:rsid w:val="007968BF"/>
    <w:rsid w:val="0079725C"/>
    <w:rsid w:val="007974E1"/>
    <w:rsid w:val="00797E58"/>
    <w:rsid w:val="007A0080"/>
    <w:rsid w:val="007A05B8"/>
    <w:rsid w:val="007A10AB"/>
    <w:rsid w:val="007A1420"/>
    <w:rsid w:val="007A1F54"/>
    <w:rsid w:val="007A2B86"/>
    <w:rsid w:val="007A323A"/>
    <w:rsid w:val="007A3331"/>
    <w:rsid w:val="007A34FF"/>
    <w:rsid w:val="007A38EF"/>
    <w:rsid w:val="007A3E1A"/>
    <w:rsid w:val="007A4EF4"/>
    <w:rsid w:val="007A4FE7"/>
    <w:rsid w:val="007A528F"/>
    <w:rsid w:val="007A55ED"/>
    <w:rsid w:val="007A5B29"/>
    <w:rsid w:val="007A6531"/>
    <w:rsid w:val="007A6945"/>
    <w:rsid w:val="007A69C2"/>
    <w:rsid w:val="007A6B31"/>
    <w:rsid w:val="007A71E4"/>
    <w:rsid w:val="007A7DC4"/>
    <w:rsid w:val="007B0C50"/>
    <w:rsid w:val="007B0CE0"/>
    <w:rsid w:val="007B0F2C"/>
    <w:rsid w:val="007B20B6"/>
    <w:rsid w:val="007B2262"/>
    <w:rsid w:val="007B2641"/>
    <w:rsid w:val="007B283F"/>
    <w:rsid w:val="007B2F11"/>
    <w:rsid w:val="007B3403"/>
    <w:rsid w:val="007B37AC"/>
    <w:rsid w:val="007B37CB"/>
    <w:rsid w:val="007B39BF"/>
    <w:rsid w:val="007B3AA1"/>
    <w:rsid w:val="007B3DB4"/>
    <w:rsid w:val="007B3E5D"/>
    <w:rsid w:val="007B438D"/>
    <w:rsid w:val="007B46EB"/>
    <w:rsid w:val="007B4969"/>
    <w:rsid w:val="007B4CB8"/>
    <w:rsid w:val="007B5244"/>
    <w:rsid w:val="007B5319"/>
    <w:rsid w:val="007B5546"/>
    <w:rsid w:val="007B61D6"/>
    <w:rsid w:val="007B68DE"/>
    <w:rsid w:val="007B6A51"/>
    <w:rsid w:val="007B6B31"/>
    <w:rsid w:val="007B76EB"/>
    <w:rsid w:val="007C07E7"/>
    <w:rsid w:val="007C0CC2"/>
    <w:rsid w:val="007C109E"/>
    <w:rsid w:val="007C2263"/>
    <w:rsid w:val="007C26DE"/>
    <w:rsid w:val="007C2CFC"/>
    <w:rsid w:val="007C3B07"/>
    <w:rsid w:val="007C3DBF"/>
    <w:rsid w:val="007C45F9"/>
    <w:rsid w:val="007C4DCC"/>
    <w:rsid w:val="007C565F"/>
    <w:rsid w:val="007C6B18"/>
    <w:rsid w:val="007C6D95"/>
    <w:rsid w:val="007C6E4F"/>
    <w:rsid w:val="007C6EF5"/>
    <w:rsid w:val="007C70C8"/>
    <w:rsid w:val="007C7692"/>
    <w:rsid w:val="007C77FE"/>
    <w:rsid w:val="007C7F72"/>
    <w:rsid w:val="007D0064"/>
    <w:rsid w:val="007D05A3"/>
    <w:rsid w:val="007D0749"/>
    <w:rsid w:val="007D0DAE"/>
    <w:rsid w:val="007D184F"/>
    <w:rsid w:val="007D1BED"/>
    <w:rsid w:val="007D225D"/>
    <w:rsid w:val="007D23BC"/>
    <w:rsid w:val="007D23C8"/>
    <w:rsid w:val="007D2C63"/>
    <w:rsid w:val="007D313C"/>
    <w:rsid w:val="007D3C94"/>
    <w:rsid w:val="007D3CBE"/>
    <w:rsid w:val="007D475F"/>
    <w:rsid w:val="007D5920"/>
    <w:rsid w:val="007D598E"/>
    <w:rsid w:val="007D5E14"/>
    <w:rsid w:val="007D6095"/>
    <w:rsid w:val="007D67B8"/>
    <w:rsid w:val="007D67BF"/>
    <w:rsid w:val="007D6C57"/>
    <w:rsid w:val="007D7384"/>
    <w:rsid w:val="007D7F0A"/>
    <w:rsid w:val="007D7FE6"/>
    <w:rsid w:val="007E0611"/>
    <w:rsid w:val="007E06E6"/>
    <w:rsid w:val="007E1492"/>
    <w:rsid w:val="007E1609"/>
    <w:rsid w:val="007E1826"/>
    <w:rsid w:val="007E190D"/>
    <w:rsid w:val="007E1FAB"/>
    <w:rsid w:val="007E248D"/>
    <w:rsid w:val="007E266A"/>
    <w:rsid w:val="007E275B"/>
    <w:rsid w:val="007E2787"/>
    <w:rsid w:val="007E2BCB"/>
    <w:rsid w:val="007E3477"/>
    <w:rsid w:val="007E3560"/>
    <w:rsid w:val="007E44CD"/>
    <w:rsid w:val="007E45BB"/>
    <w:rsid w:val="007E4821"/>
    <w:rsid w:val="007E4B01"/>
    <w:rsid w:val="007E669F"/>
    <w:rsid w:val="007E75D7"/>
    <w:rsid w:val="007F01D9"/>
    <w:rsid w:val="007F070E"/>
    <w:rsid w:val="007F10C0"/>
    <w:rsid w:val="007F1105"/>
    <w:rsid w:val="007F1B2A"/>
    <w:rsid w:val="007F28FB"/>
    <w:rsid w:val="007F2D6B"/>
    <w:rsid w:val="007F3088"/>
    <w:rsid w:val="007F3F99"/>
    <w:rsid w:val="007F4221"/>
    <w:rsid w:val="007F466B"/>
    <w:rsid w:val="007F4AD5"/>
    <w:rsid w:val="007F505F"/>
    <w:rsid w:val="007F5ECC"/>
    <w:rsid w:val="007F63AF"/>
    <w:rsid w:val="007F6444"/>
    <w:rsid w:val="007F666D"/>
    <w:rsid w:val="007F6718"/>
    <w:rsid w:val="007F6C94"/>
    <w:rsid w:val="007F6EB2"/>
    <w:rsid w:val="007F7301"/>
    <w:rsid w:val="007F7371"/>
    <w:rsid w:val="007F7ED3"/>
    <w:rsid w:val="007F7FA0"/>
    <w:rsid w:val="008002B4"/>
    <w:rsid w:val="008005AD"/>
    <w:rsid w:val="00800AA0"/>
    <w:rsid w:val="00800F4A"/>
    <w:rsid w:val="008019F5"/>
    <w:rsid w:val="0080219A"/>
    <w:rsid w:val="0080227F"/>
    <w:rsid w:val="00802AFF"/>
    <w:rsid w:val="008036D1"/>
    <w:rsid w:val="00803CC1"/>
    <w:rsid w:val="00803EA7"/>
    <w:rsid w:val="00804010"/>
    <w:rsid w:val="00804322"/>
    <w:rsid w:val="00805953"/>
    <w:rsid w:val="00806F49"/>
    <w:rsid w:val="00807E43"/>
    <w:rsid w:val="00810409"/>
    <w:rsid w:val="008104D6"/>
    <w:rsid w:val="00810670"/>
    <w:rsid w:val="00810AD6"/>
    <w:rsid w:val="00810CA6"/>
    <w:rsid w:val="00810F49"/>
    <w:rsid w:val="0081104F"/>
    <w:rsid w:val="0081113F"/>
    <w:rsid w:val="00811314"/>
    <w:rsid w:val="008113CD"/>
    <w:rsid w:val="00811FBC"/>
    <w:rsid w:val="0081252A"/>
    <w:rsid w:val="00812632"/>
    <w:rsid w:val="008128AA"/>
    <w:rsid w:val="00812994"/>
    <w:rsid w:val="00812AAB"/>
    <w:rsid w:val="00812E24"/>
    <w:rsid w:val="008139F5"/>
    <w:rsid w:val="008144A6"/>
    <w:rsid w:val="00814A64"/>
    <w:rsid w:val="00814E3C"/>
    <w:rsid w:val="008151D0"/>
    <w:rsid w:val="008151D2"/>
    <w:rsid w:val="008166B8"/>
    <w:rsid w:val="00816807"/>
    <w:rsid w:val="008169E2"/>
    <w:rsid w:val="008172AE"/>
    <w:rsid w:val="008175AA"/>
    <w:rsid w:val="008178C0"/>
    <w:rsid w:val="00817929"/>
    <w:rsid w:val="00817F2C"/>
    <w:rsid w:val="00817FEE"/>
    <w:rsid w:val="00820675"/>
    <w:rsid w:val="00820B2B"/>
    <w:rsid w:val="00820CEE"/>
    <w:rsid w:val="008212F6"/>
    <w:rsid w:val="008230AF"/>
    <w:rsid w:val="008236D2"/>
    <w:rsid w:val="00823C7B"/>
    <w:rsid w:val="008241D0"/>
    <w:rsid w:val="008248D7"/>
    <w:rsid w:val="00824BAF"/>
    <w:rsid w:val="00825240"/>
    <w:rsid w:val="00826525"/>
    <w:rsid w:val="00826860"/>
    <w:rsid w:val="008278D6"/>
    <w:rsid w:val="00830AD9"/>
    <w:rsid w:val="0083126D"/>
    <w:rsid w:val="008313C4"/>
    <w:rsid w:val="00831B80"/>
    <w:rsid w:val="0083268F"/>
    <w:rsid w:val="008330A7"/>
    <w:rsid w:val="00833D7B"/>
    <w:rsid w:val="00834016"/>
    <w:rsid w:val="00834273"/>
    <w:rsid w:val="008353F5"/>
    <w:rsid w:val="00835431"/>
    <w:rsid w:val="00836049"/>
    <w:rsid w:val="00836122"/>
    <w:rsid w:val="00836136"/>
    <w:rsid w:val="008366E6"/>
    <w:rsid w:val="00837028"/>
    <w:rsid w:val="00837213"/>
    <w:rsid w:val="008376AA"/>
    <w:rsid w:val="00837B0B"/>
    <w:rsid w:val="00837C71"/>
    <w:rsid w:val="00837EE4"/>
    <w:rsid w:val="00840320"/>
    <w:rsid w:val="008415E8"/>
    <w:rsid w:val="00841AAE"/>
    <w:rsid w:val="00841EE4"/>
    <w:rsid w:val="00841F80"/>
    <w:rsid w:val="008420D3"/>
    <w:rsid w:val="008432C0"/>
    <w:rsid w:val="00843504"/>
    <w:rsid w:val="0084370D"/>
    <w:rsid w:val="00844B33"/>
    <w:rsid w:val="00844C8A"/>
    <w:rsid w:val="00844F58"/>
    <w:rsid w:val="00845034"/>
    <w:rsid w:val="00845416"/>
    <w:rsid w:val="008458A9"/>
    <w:rsid w:val="008459BC"/>
    <w:rsid w:val="00846283"/>
    <w:rsid w:val="0084629B"/>
    <w:rsid w:val="00846C93"/>
    <w:rsid w:val="008477FE"/>
    <w:rsid w:val="0084791D"/>
    <w:rsid w:val="00847C27"/>
    <w:rsid w:val="0085186D"/>
    <w:rsid w:val="00851F86"/>
    <w:rsid w:val="00852066"/>
    <w:rsid w:val="008528EF"/>
    <w:rsid w:val="00852A71"/>
    <w:rsid w:val="00852C37"/>
    <w:rsid w:val="00852CB9"/>
    <w:rsid w:val="008535EB"/>
    <w:rsid w:val="008535FC"/>
    <w:rsid w:val="008548CD"/>
    <w:rsid w:val="008558A7"/>
    <w:rsid w:val="00860E0E"/>
    <w:rsid w:val="00861479"/>
    <w:rsid w:val="00861A04"/>
    <w:rsid w:val="00861A3F"/>
    <w:rsid w:val="00861BBC"/>
    <w:rsid w:val="00861DD5"/>
    <w:rsid w:val="008620CB"/>
    <w:rsid w:val="008626FA"/>
    <w:rsid w:val="0086281E"/>
    <w:rsid w:val="00862AD1"/>
    <w:rsid w:val="008641C7"/>
    <w:rsid w:val="008642F1"/>
    <w:rsid w:val="0086435C"/>
    <w:rsid w:val="0086449D"/>
    <w:rsid w:val="00864C64"/>
    <w:rsid w:val="00864DB4"/>
    <w:rsid w:val="00864ED9"/>
    <w:rsid w:val="00865824"/>
    <w:rsid w:val="00865861"/>
    <w:rsid w:val="00866702"/>
    <w:rsid w:val="008669F1"/>
    <w:rsid w:val="00866A4E"/>
    <w:rsid w:val="008673DD"/>
    <w:rsid w:val="00867690"/>
    <w:rsid w:val="008678FD"/>
    <w:rsid w:val="00867F00"/>
    <w:rsid w:val="008702DF"/>
    <w:rsid w:val="008711B6"/>
    <w:rsid w:val="00871485"/>
    <w:rsid w:val="008715B1"/>
    <w:rsid w:val="008720F3"/>
    <w:rsid w:val="0087210B"/>
    <w:rsid w:val="00873512"/>
    <w:rsid w:val="0087368C"/>
    <w:rsid w:val="008749A2"/>
    <w:rsid w:val="00874E44"/>
    <w:rsid w:val="008756EA"/>
    <w:rsid w:val="00875C75"/>
    <w:rsid w:val="00875EDC"/>
    <w:rsid w:val="00877B8B"/>
    <w:rsid w:val="00880133"/>
    <w:rsid w:val="008803FB"/>
    <w:rsid w:val="008803FE"/>
    <w:rsid w:val="0088075E"/>
    <w:rsid w:val="008808DC"/>
    <w:rsid w:val="00880F18"/>
    <w:rsid w:val="008813B3"/>
    <w:rsid w:val="0088243D"/>
    <w:rsid w:val="0088258C"/>
    <w:rsid w:val="00882A9B"/>
    <w:rsid w:val="00883525"/>
    <w:rsid w:val="00883AB6"/>
    <w:rsid w:val="00883E7A"/>
    <w:rsid w:val="008841A1"/>
    <w:rsid w:val="008844FB"/>
    <w:rsid w:val="00884688"/>
    <w:rsid w:val="00884969"/>
    <w:rsid w:val="00884CE8"/>
    <w:rsid w:val="00885536"/>
    <w:rsid w:val="0088574D"/>
    <w:rsid w:val="00885870"/>
    <w:rsid w:val="00885B60"/>
    <w:rsid w:val="00885FC7"/>
    <w:rsid w:val="00886058"/>
    <w:rsid w:val="008861D7"/>
    <w:rsid w:val="00886BAE"/>
    <w:rsid w:val="00887269"/>
    <w:rsid w:val="00887910"/>
    <w:rsid w:val="0089014F"/>
    <w:rsid w:val="008907A0"/>
    <w:rsid w:val="00890BAF"/>
    <w:rsid w:val="008910B9"/>
    <w:rsid w:val="00891FE5"/>
    <w:rsid w:val="008921EC"/>
    <w:rsid w:val="008922C8"/>
    <w:rsid w:val="00892D36"/>
    <w:rsid w:val="0089308F"/>
    <w:rsid w:val="00893B82"/>
    <w:rsid w:val="00893F58"/>
    <w:rsid w:val="00894310"/>
    <w:rsid w:val="0089432B"/>
    <w:rsid w:val="00894887"/>
    <w:rsid w:val="00894DAB"/>
    <w:rsid w:val="0089512D"/>
    <w:rsid w:val="008951C4"/>
    <w:rsid w:val="00895B65"/>
    <w:rsid w:val="00896416"/>
    <w:rsid w:val="0089642E"/>
    <w:rsid w:val="00896463"/>
    <w:rsid w:val="00896771"/>
    <w:rsid w:val="008967A1"/>
    <w:rsid w:val="00896B0D"/>
    <w:rsid w:val="008971F9"/>
    <w:rsid w:val="00897994"/>
    <w:rsid w:val="00897E7F"/>
    <w:rsid w:val="008A0C96"/>
    <w:rsid w:val="008A14FA"/>
    <w:rsid w:val="008A15C3"/>
    <w:rsid w:val="008A1EAF"/>
    <w:rsid w:val="008A200C"/>
    <w:rsid w:val="008A208F"/>
    <w:rsid w:val="008A26D6"/>
    <w:rsid w:val="008A2950"/>
    <w:rsid w:val="008A3016"/>
    <w:rsid w:val="008A3489"/>
    <w:rsid w:val="008A3735"/>
    <w:rsid w:val="008A3CA1"/>
    <w:rsid w:val="008A4B34"/>
    <w:rsid w:val="008A4E0A"/>
    <w:rsid w:val="008A5127"/>
    <w:rsid w:val="008A53CE"/>
    <w:rsid w:val="008A555D"/>
    <w:rsid w:val="008A6020"/>
    <w:rsid w:val="008A6D1C"/>
    <w:rsid w:val="008A72E3"/>
    <w:rsid w:val="008B012B"/>
    <w:rsid w:val="008B0F46"/>
    <w:rsid w:val="008B17F6"/>
    <w:rsid w:val="008B1DEE"/>
    <w:rsid w:val="008B257B"/>
    <w:rsid w:val="008B318D"/>
    <w:rsid w:val="008B31BF"/>
    <w:rsid w:val="008B408A"/>
    <w:rsid w:val="008B4669"/>
    <w:rsid w:val="008B5139"/>
    <w:rsid w:val="008B5322"/>
    <w:rsid w:val="008B54FF"/>
    <w:rsid w:val="008B6214"/>
    <w:rsid w:val="008B6C99"/>
    <w:rsid w:val="008B6FF4"/>
    <w:rsid w:val="008B79BA"/>
    <w:rsid w:val="008C018D"/>
    <w:rsid w:val="008C072F"/>
    <w:rsid w:val="008C093F"/>
    <w:rsid w:val="008C1B56"/>
    <w:rsid w:val="008C1BB1"/>
    <w:rsid w:val="008C1C3F"/>
    <w:rsid w:val="008C1D66"/>
    <w:rsid w:val="008C1DE8"/>
    <w:rsid w:val="008C202F"/>
    <w:rsid w:val="008C25A1"/>
    <w:rsid w:val="008C303F"/>
    <w:rsid w:val="008C3460"/>
    <w:rsid w:val="008C39DF"/>
    <w:rsid w:val="008C4354"/>
    <w:rsid w:val="008C4672"/>
    <w:rsid w:val="008C4F3A"/>
    <w:rsid w:val="008C5CE3"/>
    <w:rsid w:val="008C5E6F"/>
    <w:rsid w:val="008C5E8B"/>
    <w:rsid w:val="008C606D"/>
    <w:rsid w:val="008C6189"/>
    <w:rsid w:val="008C61C8"/>
    <w:rsid w:val="008C6678"/>
    <w:rsid w:val="008C6BB0"/>
    <w:rsid w:val="008C7DB8"/>
    <w:rsid w:val="008D0885"/>
    <w:rsid w:val="008D0AAC"/>
    <w:rsid w:val="008D0B31"/>
    <w:rsid w:val="008D0D6C"/>
    <w:rsid w:val="008D1B03"/>
    <w:rsid w:val="008D1D69"/>
    <w:rsid w:val="008D29A8"/>
    <w:rsid w:val="008D3CC5"/>
    <w:rsid w:val="008D401B"/>
    <w:rsid w:val="008D44FB"/>
    <w:rsid w:val="008D471D"/>
    <w:rsid w:val="008D4917"/>
    <w:rsid w:val="008D4A9B"/>
    <w:rsid w:val="008D4FF8"/>
    <w:rsid w:val="008D50CD"/>
    <w:rsid w:val="008D5CF9"/>
    <w:rsid w:val="008D5E16"/>
    <w:rsid w:val="008D6632"/>
    <w:rsid w:val="008D672F"/>
    <w:rsid w:val="008D6837"/>
    <w:rsid w:val="008D69FD"/>
    <w:rsid w:val="008D75B3"/>
    <w:rsid w:val="008D7A3A"/>
    <w:rsid w:val="008E0EFC"/>
    <w:rsid w:val="008E16D1"/>
    <w:rsid w:val="008E1A13"/>
    <w:rsid w:val="008E1CE9"/>
    <w:rsid w:val="008E1D51"/>
    <w:rsid w:val="008E2208"/>
    <w:rsid w:val="008E3665"/>
    <w:rsid w:val="008E39E3"/>
    <w:rsid w:val="008E3AE6"/>
    <w:rsid w:val="008E4030"/>
    <w:rsid w:val="008E435C"/>
    <w:rsid w:val="008E46A4"/>
    <w:rsid w:val="008E490C"/>
    <w:rsid w:val="008E4BF4"/>
    <w:rsid w:val="008E5AF9"/>
    <w:rsid w:val="008E5C71"/>
    <w:rsid w:val="008E5D0F"/>
    <w:rsid w:val="008E65B0"/>
    <w:rsid w:val="008E6BBB"/>
    <w:rsid w:val="008E6C2C"/>
    <w:rsid w:val="008E7691"/>
    <w:rsid w:val="008E799F"/>
    <w:rsid w:val="008E7BD1"/>
    <w:rsid w:val="008F029A"/>
    <w:rsid w:val="008F0540"/>
    <w:rsid w:val="008F05B7"/>
    <w:rsid w:val="008F06BC"/>
    <w:rsid w:val="008F06F9"/>
    <w:rsid w:val="008F0D27"/>
    <w:rsid w:val="008F0E58"/>
    <w:rsid w:val="008F1192"/>
    <w:rsid w:val="008F1339"/>
    <w:rsid w:val="008F18DB"/>
    <w:rsid w:val="008F2A61"/>
    <w:rsid w:val="008F2F5C"/>
    <w:rsid w:val="008F306F"/>
    <w:rsid w:val="008F31DD"/>
    <w:rsid w:val="008F373E"/>
    <w:rsid w:val="008F3A65"/>
    <w:rsid w:val="008F3E6E"/>
    <w:rsid w:val="008F46E6"/>
    <w:rsid w:val="008F4724"/>
    <w:rsid w:val="008F486D"/>
    <w:rsid w:val="008F5432"/>
    <w:rsid w:val="008F5B0F"/>
    <w:rsid w:val="008F625B"/>
    <w:rsid w:val="008F6294"/>
    <w:rsid w:val="008F6C2B"/>
    <w:rsid w:val="008F71EF"/>
    <w:rsid w:val="008F76FF"/>
    <w:rsid w:val="009007C7"/>
    <w:rsid w:val="00900F35"/>
    <w:rsid w:val="00901579"/>
    <w:rsid w:val="00901915"/>
    <w:rsid w:val="00901FB5"/>
    <w:rsid w:val="0090207E"/>
    <w:rsid w:val="00902099"/>
    <w:rsid w:val="00902103"/>
    <w:rsid w:val="009021C9"/>
    <w:rsid w:val="0090225A"/>
    <w:rsid w:val="009024AC"/>
    <w:rsid w:val="009028A0"/>
    <w:rsid w:val="00902B5B"/>
    <w:rsid w:val="009037B9"/>
    <w:rsid w:val="009039ED"/>
    <w:rsid w:val="00904A3D"/>
    <w:rsid w:val="00904B4F"/>
    <w:rsid w:val="00904BC7"/>
    <w:rsid w:val="00904C16"/>
    <w:rsid w:val="0090565B"/>
    <w:rsid w:val="009057F5"/>
    <w:rsid w:val="00905A9C"/>
    <w:rsid w:val="0090642E"/>
    <w:rsid w:val="009069AC"/>
    <w:rsid w:val="0090762C"/>
    <w:rsid w:val="0090767E"/>
    <w:rsid w:val="00907CDC"/>
    <w:rsid w:val="009109D3"/>
    <w:rsid w:val="00910B5C"/>
    <w:rsid w:val="00910C4C"/>
    <w:rsid w:val="00910E6F"/>
    <w:rsid w:val="009113C4"/>
    <w:rsid w:val="009114F9"/>
    <w:rsid w:val="009116C7"/>
    <w:rsid w:val="00911F5C"/>
    <w:rsid w:val="00912722"/>
    <w:rsid w:val="00913A91"/>
    <w:rsid w:val="00913D90"/>
    <w:rsid w:val="0091472D"/>
    <w:rsid w:val="00914B12"/>
    <w:rsid w:val="00914D63"/>
    <w:rsid w:val="0091609E"/>
    <w:rsid w:val="00916B52"/>
    <w:rsid w:val="0091786C"/>
    <w:rsid w:val="00917E94"/>
    <w:rsid w:val="00917FE8"/>
    <w:rsid w:val="00920526"/>
    <w:rsid w:val="00920783"/>
    <w:rsid w:val="009208E0"/>
    <w:rsid w:val="00920CB5"/>
    <w:rsid w:val="00921063"/>
    <w:rsid w:val="00921332"/>
    <w:rsid w:val="009214F5"/>
    <w:rsid w:val="009223C1"/>
    <w:rsid w:val="0092292D"/>
    <w:rsid w:val="0092296B"/>
    <w:rsid w:val="009229C9"/>
    <w:rsid w:val="00922FB0"/>
    <w:rsid w:val="00923100"/>
    <w:rsid w:val="0092370D"/>
    <w:rsid w:val="00923E90"/>
    <w:rsid w:val="0092441C"/>
    <w:rsid w:val="00924476"/>
    <w:rsid w:val="0092481B"/>
    <w:rsid w:val="00924907"/>
    <w:rsid w:val="00924C88"/>
    <w:rsid w:val="00925402"/>
    <w:rsid w:val="009254FA"/>
    <w:rsid w:val="00925650"/>
    <w:rsid w:val="00925781"/>
    <w:rsid w:val="00925C6F"/>
    <w:rsid w:val="00926FF6"/>
    <w:rsid w:val="009271FA"/>
    <w:rsid w:val="009273FD"/>
    <w:rsid w:val="00927708"/>
    <w:rsid w:val="00927CC5"/>
    <w:rsid w:val="00930285"/>
    <w:rsid w:val="00930482"/>
    <w:rsid w:val="00930E12"/>
    <w:rsid w:val="00931311"/>
    <w:rsid w:val="009319DC"/>
    <w:rsid w:val="00931AAE"/>
    <w:rsid w:val="00932F87"/>
    <w:rsid w:val="009334E7"/>
    <w:rsid w:val="00933821"/>
    <w:rsid w:val="00933F73"/>
    <w:rsid w:val="009347C2"/>
    <w:rsid w:val="00934847"/>
    <w:rsid w:val="0093487B"/>
    <w:rsid w:val="00935320"/>
    <w:rsid w:val="00935586"/>
    <w:rsid w:val="0093597D"/>
    <w:rsid w:val="00935E4A"/>
    <w:rsid w:val="009367DE"/>
    <w:rsid w:val="00937867"/>
    <w:rsid w:val="00937AAF"/>
    <w:rsid w:val="00937FE6"/>
    <w:rsid w:val="009400D1"/>
    <w:rsid w:val="0094011E"/>
    <w:rsid w:val="00940E90"/>
    <w:rsid w:val="00940FA8"/>
    <w:rsid w:val="00941124"/>
    <w:rsid w:val="0094117C"/>
    <w:rsid w:val="00941E28"/>
    <w:rsid w:val="00941E61"/>
    <w:rsid w:val="00941EC4"/>
    <w:rsid w:val="00942150"/>
    <w:rsid w:val="009421CE"/>
    <w:rsid w:val="00943BF5"/>
    <w:rsid w:val="00944462"/>
    <w:rsid w:val="0094502E"/>
    <w:rsid w:val="00945975"/>
    <w:rsid w:val="00945D43"/>
    <w:rsid w:val="00945E90"/>
    <w:rsid w:val="00946035"/>
    <w:rsid w:val="0094667B"/>
    <w:rsid w:val="009466A5"/>
    <w:rsid w:val="00946BDA"/>
    <w:rsid w:val="00947279"/>
    <w:rsid w:val="00950764"/>
    <w:rsid w:val="00950C41"/>
    <w:rsid w:val="00950DDA"/>
    <w:rsid w:val="0095116D"/>
    <w:rsid w:val="009512CC"/>
    <w:rsid w:val="00951697"/>
    <w:rsid w:val="0095192D"/>
    <w:rsid w:val="00951B18"/>
    <w:rsid w:val="00951C85"/>
    <w:rsid w:val="0095249B"/>
    <w:rsid w:val="00952CB6"/>
    <w:rsid w:val="00953EF0"/>
    <w:rsid w:val="00954289"/>
    <w:rsid w:val="0095584C"/>
    <w:rsid w:val="00956059"/>
    <w:rsid w:val="00956A3C"/>
    <w:rsid w:val="00956B8C"/>
    <w:rsid w:val="00957060"/>
    <w:rsid w:val="00957B3E"/>
    <w:rsid w:val="00960227"/>
    <w:rsid w:val="00960521"/>
    <w:rsid w:val="00960EFD"/>
    <w:rsid w:val="00960F6E"/>
    <w:rsid w:val="00960FD7"/>
    <w:rsid w:val="009610A9"/>
    <w:rsid w:val="00961C9E"/>
    <w:rsid w:val="00962074"/>
    <w:rsid w:val="00962294"/>
    <w:rsid w:val="0096279D"/>
    <w:rsid w:val="009628CF"/>
    <w:rsid w:val="0096290E"/>
    <w:rsid w:val="00962D40"/>
    <w:rsid w:val="00962F43"/>
    <w:rsid w:val="00963537"/>
    <w:rsid w:val="00963BA2"/>
    <w:rsid w:val="00963F99"/>
    <w:rsid w:val="00964E54"/>
    <w:rsid w:val="00964E6C"/>
    <w:rsid w:val="0096572B"/>
    <w:rsid w:val="0096596A"/>
    <w:rsid w:val="00965C93"/>
    <w:rsid w:val="00966296"/>
    <w:rsid w:val="00966562"/>
    <w:rsid w:val="009671B0"/>
    <w:rsid w:val="009678D5"/>
    <w:rsid w:val="00967AD8"/>
    <w:rsid w:val="00967B18"/>
    <w:rsid w:val="00967CDD"/>
    <w:rsid w:val="00967D39"/>
    <w:rsid w:val="00970014"/>
    <w:rsid w:val="00970140"/>
    <w:rsid w:val="0097033B"/>
    <w:rsid w:val="009707E0"/>
    <w:rsid w:val="00970ECF"/>
    <w:rsid w:val="009712D2"/>
    <w:rsid w:val="00971476"/>
    <w:rsid w:val="009714C0"/>
    <w:rsid w:val="009715C7"/>
    <w:rsid w:val="009715F1"/>
    <w:rsid w:val="009725C8"/>
    <w:rsid w:val="009725F6"/>
    <w:rsid w:val="0097296F"/>
    <w:rsid w:val="00972CA7"/>
    <w:rsid w:val="00973459"/>
    <w:rsid w:val="00973B1D"/>
    <w:rsid w:val="00975472"/>
    <w:rsid w:val="0097557B"/>
    <w:rsid w:val="009756B1"/>
    <w:rsid w:val="00975781"/>
    <w:rsid w:val="009763DC"/>
    <w:rsid w:val="00976B8E"/>
    <w:rsid w:val="00977079"/>
    <w:rsid w:val="0097716C"/>
    <w:rsid w:val="00980144"/>
    <w:rsid w:val="009803D8"/>
    <w:rsid w:val="0098127D"/>
    <w:rsid w:val="009815A0"/>
    <w:rsid w:val="00981F7A"/>
    <w:rsid w:val="009820B0"/>
    <w:rsid w:val="00982120"/>
    <w:rsid w:val="0098276D"/>
    <w:rsid w:val="0098282C"/>
    <w:rsid w:val="009829B7"/>
    <w:rsid w:val="00982A33"/>
    <w:rsid w:val="00982F02"/>
    <w:rsid w:val="00983327"/>
    <w:rsid w:val="00983367"/>
    <w:rsid w:val="0098390A"/>
    <w:rsid w:val="009839D1"/>
    <w:rsid w:val="00984155"/>
    <w:rsid w:val="0098437B"/>
    <w:rsid w:val="0098441C"/>
    <w:rsid w:val="00984463"/>
    <w:rsid w:val="009848F1"/>
    <w:rsid w:val="00984A44"/>
    <w:rsid w:val="00984F33"/>
    <w:rsid w:val="009853D9"/>
    <w:rsid w:val="009861E5"/>
    <w:rsid w:val="00986ED0"/>
    <w:rsid w:val="009870C4"/>
    <w:rsid w:val="00987896"/>
    <w:rsid w:val="0099063A"/>
    <w:rsid w:val="009908D6"/>
    <w:rsid w:val="00990BF9"/>
    <w:rsid w:val="00990DD1"/>
    <w:rsid w:val="009919F7"/>
    <w:rsid w:val="00991CD6"/>
    <w:rsid w:val="00991F6D"/>
    <w:rsid w:val="00991FA2"/>
    <w:rsid w:val="0099234A"/>
    <w:rsid w:val="00992A30"/>
    <w:rsid w:val="00994474"/>
    <w:rsid w:val="00994586"/>
    <w:rsid w:val="009948D2"/>
    <w:rsid w:val="00994FB0"/>
    <w:rsid w:val="009950A1"/>
    <w:rsid w:val="00995D98"/>
    <w:rsid w:val="00996301"/>
    <w:rsid w:val="009A00F5"/>
    <w:rsid w:val="009A1218"/>
    <w:rsid w:val="009A183F"/>
    <w:rsid w:val="009A1C57"/>
    <w:rsid w:val="009A38DC"/>
    <w:rsid w:val="009A3A08"/>
    <w:rsid w:val="009A3E13"/>
    <w:rsid w:val="009A3FA3"/>
    <w:rsid w:val="009A45E2"/>
    <w:rsid w:val="009A4645"/>
    <w:rsid w:val="009A4BA1"/>
    <w:rsid w:val="009A4F1C"/>
    <w:rsid w:val="009A5461"/>
    <w:rsid w:val="009A6890"/>
    <w:rsid w:val="009A69E9"/>
    <w:rsid w:val="009A6FEA"/>
    <w:rsid w:val="009A739E"/>
    <w:rsid w:val="009A75D6"/>
    <w:rsid w:val="009A771E"/>
    <w:rsid w:val="009B0081"/>
    <w:rsid w:val="009B04BC"/>
    <w:rsid w:val="009B097C"/>
    <w:rsid w:val="009B1841"/>
    <w:rsid w:val="009B1F15"/>
    <w:rsid w:val="009B2B89"/>
    <w:rsid w:val="009B2D20"/>
    <w:rsid w:val="009B2D74"/>
    <w:rsid w:val="009B31D6"/>
    <w:rsid w:val="009B31DF"/>
    <w:rsid w:val="009B327A"/>
    <w:rsid w:val="009B3329"/>
    <w:rsid w:val="009B347E"/>
    <w:rsid w:val="009B3787"/>
    <w:rsid w:val="009B3930"/>
    <w:rsid w:val="009B4BE7"/>
    <w:rsid w:val="009B4EB1"/>
    <w:rsid w:val="009B526F"/>
    <w:rsid w:val="009B52FB"/>
    <w:rsid w:val="009B5AC4"/>
    <w:rsid w:val="009B64C1"/>
    <w:rsid w:val="009B6F7E"/>
    <w:rsid w:val="009B70BF"/>
    <w:rsid w:val="009B7855"/>
    <w:rsid w:val="009B7B1B"/>
    <w:rsid w:val="009C006E"/>
    <w:rsid w:val="009C044B"/>
    <w:rsid w:val="009C056E"/>
    <w:rsid w:val="009C0815"/>
    <w:rsid w:val="009C0B9A"/>
    <w:rsid w:val="009C11DE"/>
    <w:rsid w:val="009C1394"/>
    <w:rsid w:val="009C181E"/>
    <w:rsid w:val="009C1843"/>
    <w:rsid w:val="009C18F0"/>
    <w:rsid w:val="009C1B38"/>
    <w:rsid w:val="009C2918"/>
    <w:rsid w:val="009C437E"/>
    <w:rsid w:val="009C55F4"/>
    <w:rsid w:val="009C5903"/>
    <w:rsid w:val="009C5B05"/>
    <w:rsid w:val="009C66BA"/>
    <w:rsid w:val="009C6A11"/>
    <w:rsid w:val="009C6D40"/>
    <w:rsid w:val="009C6D8F"/>
    <w:rsid w:val="009C7FD6"/>
    <w:rsid w:val="009D11B6"/>
    <w:rsid w:val="009D14C3"/>
    <w:rsid w:val="009D192A"/>
    <w:rsid w:val="009D1CD2"/>
    <w:rsid w:val="009D23A7"/>
    <w:rsid w:val="009D2975"/>
    <w:rsid w:val="009D2E0F"/>
    <w:rsid w:val="009D3245"/>
    <w:rsid w:val="009D32F2"/>
    <w:rsid w:val="009D3C9E"/>
    <w:rsid w:val="009D4033"/>
    <w:rsid w:val="009D4A44"/>
    <w:rsid w:val="009D52FD"/>
    <w:rsid w:val="009D5784"/>
    <w:rsid w:val="009D6DAB"/>
    <w:rsid w:val="009D7AAF"/>
    <w:rsid w:val="009E03C0"/>
    <w:rsid w:val="009E07F3"/>
    <w:rsid w:val="009E081F"/>
    <w:rsid w:val="009E09F8"/>
    <w:rsid w:val="009E1A0A"/>
    <w:rsid w:val="009E1A77"/>
    <w:rsid w:val="009E2F31"/>
    <w:rsid w:val="009E3CEB"/>
    <w:rsid w:val="009E4189"/>
    <w:rsid w:val="009E425F"/>
    <w:rsid w:val="009E4D84"/>
    <w:rsid w:val="009E529A"/>
    <w:rsid w:val="009E5316"/>
    <w:rsid w:val="009E5998"/>
    <w:rsid w:val="009E6D22"/>
    <w:rsid w:val="009E7B04"/>
    <w:rsid w:val="009E7B74"/>
    <w:rsid w:val="009F0113"/>
    <w:rsid w:val="009F01CF"/>
    <w:rsid w:val="009F0397"/>
    <w:rsid w:val="009F04A6"/>
    <w:rsid w:val="009F056C"/>
    <w:rsid w:val="009F0C69"/>
    <w:rsid w:val="009F0C7A"/>
    <w:rsid w:val="009F209C"/>
    <w:rsid w:val="009F2393"/>
    <w:rsid w:val="009F2BEF"/>
    <w:rsid w:val="009F2D47"/>
    <w:rsid w:val="009F32C9"/>
    <w:rsid w:val="009F357C"/>
    <w:rsid w:val="009F3E46"/>
    <w:rsid w:val="009F555B"/>
    <w:rsid w:val="009F55F1"/>
    <w:rsid w:val="009F615D"/>
    <w:rsid w:val="009F6807"/>
    <w:rsid w:val="009F727A"/>
    <w:rsid w:val="009F7478"/>
    <w:rsid w:val="009F760E"/>
    <w:rsid w:val="009F780E"/>
    <w:rsid w:val="009F7AED"/>
    <w:rsid w:val="00A00523"/>
    <w:rsid w:val="00A00BF5"/>
    <w:rsid w:val="00A01AD3"/>
    <w:rsid w:val="00A02068"/>
    <w:rsid w:val="00A022C1"/>
    <w:rsid w:val="00A02750"/>
    <w:rsid w:val="00A028FB"/>
    <w:rsid w:val="00A0338A"/>
    <w:rsid w:val="00A03C73"/>
    <w:rsid w:val="00A0547B"/>
    <w:rsid w:val="00A055EB"/>
    <w:rsid w:val="00A05702"/>
    <w:rsid w:val="00A0659F"/>
    <w:rsid w:val="00A06FBB"/>
    <w:rsid w:val="00A071AA"/>
    <w:rsid w:val="00A1069A"/>
    <w:rsid w:val="00A10D26"/>
    <w:rsid w:val="00A10E83"/>
    <w:rsid w:val="00A1166D"/>
    <w:rsid w:val="00A11706"/>
    <w:rsid w:val="00A11A9D"/>
    <w:rsid w:val="00A11F32"/>
    <w:rsid w:val="00A12274"/>
    <w:rsid w:val="00A128C2"/>
    <w:rsid w:val="00A1361A"/>
    <w:rsid w:val="00A13D11"/>
    <w:rsid w:val="00A13D97"/>
    <w:rsid w:val="00A14069"/>
    <w:rsid w:val="00A14814"/>
    <w:rsid w:val="00A1659D"/>
    <w:rsid w:val="00A1663A"/>
    <w:rsid w:val="00A16700"/>
    <w:rsid w:val="00A16B7A"/>
    <w:rsid w:val="00A17317"/>
    <w:rsid w:val="00A17413"/>
    <w:rsid w:val="00A17619"/>
    <w:rsid w:val="00A20F65"/>
    <w:rsid w:val="00A216AB"/>
    <w:rsid w:val="00A22AE2"/>
    <w:rsid w:val="00A22E4F"/>
    <w:rsid w:val="00A23AC5"/>
    <w:rsid w:val="00A252E3"/>
    <w:rsid w:val="00A256A5"/>
    <w:rsid w:val="00A2589D"/>
    <w:rsid w:val="00A2597B"/>
    <w:rsid w:val="00A266DD"/>
    <w:rsid w:val="00A26B03"/>
    <w:rsid w:val="00A26B3E"/>
    <w:rsid w:val="00A273B2"/>
    <w:rsid w:val="00A276C1"/>
    <w:rsid w:val="00A277DB"/>
    <w:rsid w:val="00A27830"/>
    <w:rsid w:val="00A2784A"/>
    <w:rsid w:val="00A27DB3"/>
    <w:rsid w:val="00A27EE7"/>
    <w:rsid w:val="00A30153"/>
    <w:rsid w:val="00A303CF"/>
    <w:rsid w:val="00A312D7"/>
    <w:rsid w:val="00A31B68"/>
    <w:rsid w:val="00A3228A"/>
    <w:rsid w:val="00A322F9"/>
    <w:rsid w:val="00A328EA"/>
    <w:rsid w:val="00A33AD3"/>
    <w:rsid w:val="00A341DA"/>
    <w:rsid w:val="00A34852"/>
    <w:rsid w:val="00A35191"/>
    <w:rsid w:val="00A354F2"/>
    <w:rsid w:val="00A36EA2"/>
    <w:rsid w:val="00A36F2B"/>
    <w:rsid w:val="00A375CC"/>
    <w:rsid w:val="00A37C4D"/>
    <w:rsid w:val="00A40200"/>
    <w:rsid w:val="00A4027A"/>
    <w:rsid w:val="00A415B2"/>
    <w:rsid w:val="00A41F1E"/>
    <w:rsid w:val="00A42A98"/>
    <w:rsid w:val="00A431B2"/>
    <w:rsid w:val="00A4381D"/>
    <w:rsid w:val="00A454BC"/>
    <w:rsid w:val="00A46743"/>
    <w:rsid w:val="00A4683E"/>
    <w:rsid w:val="00A47432"/>
    <w:rsid w:val="00A47905"/>
    <w:rsid w:val="00A50018"/>
    <w:rsid w:val="00A50129"/>
    <w:rsid w:val="00A501A6"/>
    <w:rsid w:val="00A506A8"/>
    <w:rsid w:val="00A516FB"/>
    <w:rsid w:val="00A51C17"/>
    <w:rsid w:val="00A5248E"/>
    <w:rsid w:val="00A52FEF"/>
    <w:rsid w:val="00A5335D"/>
    <w:rsid w:val="00A536E8"/>
    <w:rsid w:val="00A53C39"/>
    <w:rsid w:val="00A54253"/>
    <w:rsid w:val="00A550FA"/>
    <w:rsid w:val="00A554C9"/>
    <w:rsid w:val="00A55C85"/>
    <w:rsid w:val="00A55CE6"/>
    <w:rsid w:val="00A57552"/>
    <w:rsid w:val="00A576D5"/>
    <w:rsid w:val="00A57E1C"/>
    <w:rsid w:val="00A60967"/>
    <w:rsid w:val="00A60E98"/>
    <w:rsid w:val="00A61130"/>
    <w:rsid w:val="00A61F9F"/>
    <w:rsid w:val="00A62342"/>
    <w:rsid w:val="00A6270F"/>
    <w:rsid w:val="00A63010"/>
    <w:rsid w:val="00A63A54"/>
    <w:rsid w:val="00A643A1"/>
    <w:rsid w:val="00A643F6"/>
    <w:rsid w:val="00A64B31"/>
    <w:rsid w:val="00A64E83"/>
    <w:rsid w:val="00A651BD"/>
    <w:rsid w:val="00A65AFB"/>
    <w:rsid w:val="00A65C1C"/>
    <w:rsid w:val="00A65C8F"/>
    <w:rsid w:val="00A662A1"/>
    <w:rsid w:val="00A662DB"/>
    <w:rsid w:val="00A67BD7"/>
    <w:rsid w:val="00A7002E"/>
    <w:rsid w:val="00A70291"/>
    <w:rsid w:val="00A70D82"/>
    <w:rsid w:val="00A71D2F"/>
    <w:rsid w:val="00A727B1"/>
    <w:rsid w:val="00A7310B"/>
    <w:rsid w:val="00A73614"/>
    <w:rsid w:val="00A73853"/>
    <w:rsid w:val="00A73AAE"/>
    <w:rsid w:val="00A73FB1"/>
    <w:rsid w:val="00A7525C"/>
    <w:rsid w:val="00A7541B"/>
    <w:rsid w:val="00A757E3"/>
    <w:rsid w:val="00A75BC7"/>
    <w:rsid w:val="00A76334"/>
    <w:rsid w:val="00A7682F"/>
    <w:rsid w:val="00A802B3"/>
    <w:rsid w:val="00A81000"/>
    <w:rsid w:val="00A8155E"/>
    <w:rsid w:val="00A823A1"/>
    <w:rsid w:val="00A823CA"/>
    <w:rsid w:val="00A825B0"/>
    <w:rsid w:val="00A82D90"/>
    <w:rsid w:val="00A84584"/>
    <w:rsid w:val="00A85BB0"/>
    <w:rsid w:val="00A860C2"/>
    <w:rsid w:val="00A8635A"/>
    <w:rsid w:val="00A86C3E"/>
    <w:rsid w:val="00A86C47"/>
    <w:rsid w:val="00A870D3"/>
    <w:rsid w:val="00A873B5"/>
    <w:rsid w:val="00A87831"/>
    <w:rsid w:val="00A87926"/>
    <w:rsid w:val="00A90517"/>
    <w:rsid w:val="00A907A8"/>
    <w:rsid w:val="00A908E4"/>
    <w:rsid w:val="00A90D23"/>
    <w:rsid w:val="00A91383"/>
    <w:rsid w:val="00A913DC"/>
    <w:rsid w:val="00A917A0"/>
    <w:rsid w:val="00A91D6C"/>
    <w:rsid w:val="00A920C1"/>
    <w:rsid w:val="00A939E5"/>
    <w:rsid w:val="00A93D76"/>
    <w:rsid w:val="00A9420A"/>
    <w:rsid w:val="00A943B1"/>
    <w:rsid w:val="00A94AFB"/>
    <w:rsid w:val="00A9578B"/>
    <w:rsid w:val="00A95878"/>
    <w:rsid w:val="00A95AFE"/>
    <w:rsid w:val="00A9630C"/>
    <w:rsid w:val="00A96580"/>
    <w:rsid w:val="00A968CF"/>
    <w:rsid w:val="00A9714B"/>
    <w:rsid w:val="00A97A48"/>
    <w:rsid w:val="00A97EFF"/>
    <w:rsid w:val="00A97F8A"/>
    <w:rsid w:val="00AA0B61"/>
    <w:rsid w:val="00AA0D9A"/>
    <w:rsid w:val="00AA111B"/>
    <w:rsid w:val="00AA2A5C"/>
    <w:rsid w:val="00AA30D2"/>
    <w:rsid w:val="00AA39CA"/>
    <w:rsid w:val="00AA3E60"/>
    <w:rsid w:val="00AA4B0A"/>
    <w:rsid w:val="00AA55BE"/>
    <w:rsid w:val="00AA588A"/>
    <w:rsid w:val="00AA6001"/>
    <w:rsid w:val="00AA6489"/>
    <w:rsid w:val="00AA668B"/>
    <w:rsid w:val="00AA68AF"/>
    <w:rsid w:val="00AA6CCA"/>
    <w:rsid w:val="00AB04C4"/>
    <w:rsid w:val="00AB0681"/>
    <w:rsid w:val="00AB0B89"/>
    <w:rsid w:val="00AB1604"/>
    <w:rsid w:val="00AB17D2"/>
    <w:rsid w:val="00AB181E"/>
    <w:rsid w:val="00AB18F3"/>
    <w:rsid w:val="00AB1C58"/>
    <w:rsid w:val="00AB1DC4"/>
    <w:rsid w:val="00AB3C9A"/>
    <w:rsid w:val="00AB3DFE"/>
    <w:rsid w:val="00AB45F9"/>
    <w:rsid w:val="00AB56DE"/>
    <w:rsid w:val="00AB571E"/>
    <w:rsid w:val="00AB5857"/>
    <w:rsid w:val="00AB59E4"/>
    <w:rsid w:val="00AB66E9"/>
    <w:rsid w:val="00AB6742"/>
    <w:rsid w:val="00AB67FA"/>
    <w:rsid w:val="00AB72D2"/>
    <w:rsid w:val="00AB732A"/>
    <w:rsid w:val="00AB74D9"/>
    <w:rsid w:val="00AB77A3"/>
    <w:rsid w:val="00AC11E2"/>
    <w:rsid w:val="00AC1ACA"/>
    <w:rsid w:val="00AC2013"/>
    <w:rsid w:val="00AC20FB"/>
    <w:rsid w:val="00AC229C"/>
    <w:rsid w:val="00AC2A64"/>
    <w:rsid w:val="00AC2C7D"/>
    <w:rsid w:val="00AC34A7"/>
    <w:rsid w:val="00AC34D7"/>
    <w:rsid w:val="00AC3DCC"/>
    <w:rsid w:val="00AC3DDE"/>
    <w:rsid w:val="00AC3E18"/>
    <w:rsid w:val="00AC3F27"/>
    <w:rsid w:val="00AC40B1"/>
    <w:rsid w:val="00AC4AED"/>
    <w:rsid w:val="00AC4B1E"/>
    <w:rsid w:val="00AC4EC0"/>
    <w:rsid w:val="00AC6AAF"/>
    <w:rsid w:val="00AC7F1D"/>
    <w:rsid w:val="00AD0180"/>
    <w:rsid w:val="00AD0314"/>
    <w:rsid w:val="00AD04FD"/>
    <w:rsid w:val="00AD070C"/>
    <w:rsid w:val="00AD07DA"/>
    <w:rsid w:val="00AD1598"/>
    <w:rsid w:val="00AD1BD2"/>
    <w:rsid w:val="00AD1BE1"/>
    <w:rsid w:val="00AD1CC9"/>
    <w:rsid w:val="00AD1D23"/>
    <w:rsid w:val="00AD1EBF"/>
    <w:rsid w:val="00AD234B"/>
    <w:rsid w:val="00AD23A5"/>
    <w:rsid w:val="00AD356C"/>
    <w:rsid w:val="00AD3C30"/>
    <w:rsid w:val="00AD3CCD"/>
    <w:rsid w:val="00AD3FA0"/>
    <w:rsid w:val="00AD4E13"/>
    <w:rsid w:val="00AD5405"/>
    <w:rsid w:val="00AD5B5C"/>
    <w:rsid w:val="00AD6202"/>
    <w:rsid w:val="00AD625E"/>
    <w:rsid w:val="00AD6487"/>
    <w:rsid w:val="00AD6850"/>
    <w:rsid w:val="00AD7492"/>
    <w:rsid w:val="00AD7678"/>
    <w:rsid w:val="00AE0C29"/>
    <w:rsid w:val="00AE2021"/>
    <w:rsid w:val="00AE2379"/>
    <w:rsid w:val="00AE269C"/>
    <w:rsid w:val="00AE2CFC"/>
    <w:rsid w:val="00AE3067"/>
    <w:rsid w:val="00AE3B76"/>
    <w:rsid w:val="00AE3D55"/>
    <w:rsid w:val="00AE4603"/>
    <w:rsid w:val="00AE6222"/>
    <w:rsid w:val="00AE6660"/>
    <w:rsid w:val="00AE6EEE"/>
    <w:rsid w:val="00AE717D"/>
    <w:rsid w:val="00AE76B9"/>
    <w:rsid w:val="00AF0300"/>
    <w:rsid w:val="00AF0743"/>
    <w:rsid w:val="00AF08B0"/>
    <w:rsid w:val="00AF08DB"/>
    <w:rsid w:val="00AF0A05"/>
    <w:rsid w:val="00AF0EDA"/>
    <w:rsid w:val="00AF166B"/>
    <w:rsid w:val="00AF1CAF"/>
    <w:rsid w:val="00AF2A92"/>
    <w:rsid w:val="00AF2D99"/>
    <w:rsid w:val="00AF2F39"/>
    <w:rsid w:val="00AF32D5"/>
    <w:rsid w:val="00AF3F3F"/>
    <w:rsid w:val="00AF4811"/>
    <w:rsid w:val="00AF49CE"/>
    <w:rsid w:val="00AF552C"/>
    <w:rsid w:val="00AF5CB1"/>
    <w:rsid w:val="00AF5E55"/>
    <w:rsid w:val="00AF62F6"/>
    <w:rsid w:val="00AF64B2"/>
    <w:rsid w:val="00AF66E6"/>
    <w:rsid w:val="00AF66EE"/>
    <w:rsid w:val="00AF6979"/>
    <w:rsid w:val="00AF6B31"/>
    <w:rsid w:val="00AF6C40"/>
    <w:rsid w:val="00AF70CF"/>
    <w:rsid w:val="00AF7142"/>
    <w:rsid w:val="00AF716C"/>
    <w:rsid w:val="00AF73DB"/>
    <w:rsid w:val="00AF7BDB"/>
    <w:rsid w:val="00B006C8"/>
    <w:rsid w:val="00B013C8"/>
    <w:rsid w:val="00B016E3"/>
    <w:rsid w:val="00B023D0"/>
    <w:rsid w:val="00B02788"/>
    <w:rsid w:val="00B04168"/>
    <w:rsid w:val="00B053D0"/>
    <w:rsid w:val="00B054DE"/>
    <w:rsid w:val="00B055A3"/>
    <w:rsid w:val="00B05D01"/>
    <w:rsid w:val="00B05DC6"/>
    <w:rsid w:val="00B0777F"/>
    <w:rsid w:val="00B07AD6"/>
    <w:rsid w:val="00B07CBE"/>
    <w:rsid w:val="00B10256"/>
    <w:rsid w:val="00B1083A"/>
    <w:rsid w:val="00B1087F"/>
    <w:rsid w:val="00B11120"/>
    <w:rsid w:val="00B1191F"/>
    <w:rsid w:val="00B119CB"/>
    <w:rsid w:val="00B11AAF"/>
    <w:rsid w:val="00B11C44"/>
    <w:rsid w:val="00B1299A"/>
    <w:rsid w:val="00B13657"/>
    <w:rsid w:val="00B13BC4"/>
    <w:rsid w:val="00B14051"/>
    <w:rsid w:val="00B146E8"/>
    <w:rsid w:val="00B1473B"/>
    <w:rsid w:val="00B147E0"/>
    <w:rsid w:val="00B151C0"/>
    <w:rsid w:val="00B15CCF"/>
    <w:rsid w:val="00B16BF1"/>
    <w:rsid w:val="00B16EAE"/>
    <w:rsid w:val="00B16EDC"/>
    <w:rsid w:val="00B172EC"/>
    <w:rsid w:val="00B1740E"/>
    <w:rsid w:val="00B17B0B"/>
    <w:rsid w:val="00B20B92"/>
    <w:rsid w:val="00B210F8"/>
    <w:rsid w:val="00B212B2"/>
    <w:rsid w:val="00B214B2"/>
    <w:rsid w:val="00B215CF"/>
    <w:rsid w:val="00B220E4"/>
    <w:rsid w:val="00B22459"/>
    <w:rsid w:val="00B229A2"/>
    <w:rsid w:val="00B22E37"/>
    <w:rsid w:val="00B23F6A"/>
    <w:rsid w:val="00B24033"/>
    <w:rsid w:val="00B244AE"/>
    <w:rsid w:val="00B2509F"/>
    <w:rsid w:val="00B25EF7"/>
    <w:rsid w:val="00B25F40"/>
    <w:rsid w:val="00B26714"/>
    <w:rsid w:val="00B26738"/>
    <w:rsid w:val="00B274AC"/>
    <w:rsid w:val="00B27812"/>
    <w:rsid w:val="00B27B6D"/>
    <w:rsid w:val="00B300ED"/>
    <w:rsid w:val="00B312AA"/>
    <w:rsid w:val="00B3135D"/>
    <w:rsid w:val="00B3143E"/>
    <w:rsid w:val="00B31ABD"/>
    <w:rsid w:val="00B3263D"/>
    <w:rsid w:val="00B33167"/>
    <w:rsid w:val="00B33A5D"/>
    <w:rsid w:val="00B341E4"/>
    <w:rsid w:val="00B34A39"/>
    <w:rsid w:val="00B35316"/>
    <w:rsid w:val="00B35A3B"/>
    <w:rsid w:val="00B35CA1"/>
    <w:rsid w:val="00B36318"/>
    <w:rsid w:val="00B364C9"/>
    <w:rsid w:val="00B36903"/>
    <w:rsid w:val="00B36B57"/>
    <w:rsid w:val="00B36DB5"/>
    <w:rsid w:val="00B371DA"/>
    <w:rsid w:val="00B3749A"/>
    <w:rsid w:val="00B376FF"/>
    <w:rsid w:val="00B37D9F"/>
    <w:rsid w:val="00B40540"/>
    <w:rsid w:val="00B4092D"/>
    <w:rsid w:val="00B40CEE"/>
    <w:rsid w:val="00B41818"/>
    <w:rsid w:val="00B421F2"/>
    <w:rsid w:val="00B42BD3"/>
    <w:rsid w:val="00B43B67"/>
    <w:rsid w:val="00B44424"/>
    <w:rsid w:val="00B4473E"/>
    <w:rsid w:val="00B447E2"/>
    <w:rsid w:val="00B44BB9"/>
    <w:rsid w:val="00B44D4F"/>
    <w:rsid w:val="00B45535"/>
    <w:rsid w:val="00B45D8B"/>
    <w:rsid w:val="00B45ECD"/>
    <w:rsid w:val="00B461D1"/>
    <w:rsid w:val="00B46647"/>
    <w:rsid w:val="00B46A75"/>
    <w:rsid w:val="00B4721A"/>
    <w:rsid w:val="00B474B4"/>
    <w:rsid w:val="00B47D5C"/>
    <w:rsid w:val="00B50337"/>
    <w:rsid w:val="00B50635"/>
    <w:rsid w:val="00B50E4B"/>
    <w:rsid w:val="00B52351"/>
    <w:rsid w:val="00B52571"/>
    <w:rsid w:val="00B527F6"/>
    <w:rsid w:val="00B52964"/>
    <w:rsid w:val="00B539A9"/>
    <w:rsid w:val="00B53B3B"/>
    <w:rsid w:val="00B53C2B"/>
    <w:rsid w:val="00B546BF"/>
    <w:rsid w:val="00B54704"/>
    <w:rsid w:val="00B54B47"/>
    <w:rsid w:val="00B55014"/>
    <w:rsid w:val="00B563F0"/>
    <w:rsid w:val="00B565B3"/>
    <w:rsid w:val="00B56C2A"/>
    <w:rsid w:val="00B56D4F"/>
    <w:rsid w:val="00B57A77"/>
    <w:rsid w:val="00B57BEB"/>
    <w:rsid w:val="00B6010A"/>
    <w:rsid w:val="00B60776"/>
    <w:rsid w:val="00B60997"/>
    <w:rsid w:val="00B612C1"/>
    <w:rsid w:val="00B617C8"/>
    <w:rsid w:val="00B61A21"/>
    <w:rsid w:val="00B62E2E"/>
    <w:rsid w:val="00B630E8"/>
    <w:rsid w:val="00B636DD"/>
    <w:rsid w:val="00B63FEC"/>
    <w:rsid w:val="00B64B6C"/>
    <w:rsid w:val="00B65761"/>
    <w:rsid w:val="00B660B4"/>
    <w:rsid w:val="00B667E1"/>
    <w:rsid w:val="00B67158"/>
    <w:rsid w:val="00B70506"/>
    <w:rsid w:val="00B70955"/>
    <w:rsid w:val="00B70AA2"/>
    <w:rsid w:val="00B712CC"/>
    <w:rsid w:val="00B714AD"/>
    <w:rsid w:val="00B71628"/>
    <w:rsid w:val="00B7183E"/>
    <w:rsid w:val="00B72595"/>
    <w:rsid w:val="00B72665"/>
    <w:rsid w:val="00B7282F"/>
    <w:rsid w:val="00B72F5F"/>
    <w:rsid w:val="00B73A83"/>
    <w:rsid w:val="00B73FDE"/>
    <w:rsid w:val="00B753A7"/>
    <w:rsid w:val="00B7658A"/>
    <w:rsid w:val="00B7760E"/>
    <w:rsid w:val="00B7791C"/>
    <w:rsid w:val="00B80217"/>
    <w:rsid w:val="00B8023F"/>
    <w:rsid w:val="00B804C8"/>
    <w:rsid w:val="00B810E6"/>
    <w:rsid w:val="00B8112E"/>
    <w:rsid w:val="00B81152"/>
    <w:rsid w:val="00B81834"/>
    <w:rsid w:val="00B81FCB"/>
    <w:rsid w:val="00B82026"/>
    <w:rsid w:val="00B82145"/>
    <w:rsid w:val="00B82266"/>
    <w:rsid w:val="00B82705"/>
    <w:rsid w:val="00B8307F"/>
    <w:rsid w:val="00B83270"/>
    <w:rsid w:val="00B8351C"/>
    <w:rsid w:val="00B842D3"/>
    <w:rsid w:val="00B84D76"/>
    <w:rsid w:val="00B8529E"/>
    <w:rsid w:val="00B85E33"/>
    <w:rsid w:val="00B86062"/>
    <w:rsid w:val="00B86074"/>
    <w:rsid w:val="00B8634F"/>
    <w:rsid w:val="00B863A7"/>
    <w:rsid w:val="00B863DC"/>
    <w:rsid w:val="00B873E7"/>
    <w:rsid w:val="00B87DF2"/>
    <w:rsid w:val="00B90B02"/>
    <w:rsid w:val="00B90D48"/>
    <w:rsid w:val="00B91391"/>
    <w:rsid w:val="00B91457"/>
    <w:rsid w:val="00B92283"/>
    <w:rsid w:val="00B9229B"/>
    <w:rsid w:val="00B92C16"/>
    <w:rsid w:val="00B92D62"/>
    <w:rsid w:val="00B93084"/>
    <w:rsid w:val="00B936DD"/>
    <w:rsid w:val="00B94A0E"/>
    <w:rsid w:val="00B95B51"/>
    <w:rsid w:val="00B969EE"/>
    <w:rsid w:val="00B96C77"/>
    <w:rsid w:val="00B96F49"/>
    <w:rsid w:val="00BA00B0"/>
    <w:rsid w:val="00BA0B28"/>
    <w:rsid w:val="00BA0CD6"/>
    <w:rsid w:val="00BA1075"/>
    <w:rsid w:val="00BA1530"/>
    <w:rsid w:val="00BA19B4"/>
    <w:rsid w:val="00BA1C2A"/>
    <w:rsid w:val="00BA1CFF"/>
    <w:rsid w:val="00BA3177"/>
    <w:rsid w:val="00BA362C"/>
    <w:rsid w:val="00BA4000"/>
    <w:rsid w:val="00BA4064"/>
    <w:rsid w:val="00BA431F"/>
    <w:rsid w:val="00BA45F3"/>
    <w:rsid w:val="00BA4BB1"/>
    <w:rsid w:val="00BA5323"/>
    <w:rsid w:val="00BA53F6"/>
    <w:rsid w:val="00BA6003"/>
    <w:rsid w:val="00BA610C"/>
    <w:rsid w:val="00BA64F0"/>
    <w:rsid w:val="00BA6684"/>
    <w:rsid w:val="00BA68C0"/>
    <w:rsid w:val="00BA6A74"/>
    <w:rsid w:val="00BA7E37"/>
    <w:rsid w:val="00BB08F2"/>
    <w:rsid w:val="00BB0BC3"/>
    <w:rsid w:val="00BB13C6"/>
    <w:rsid w:val="00BB145D"/>
    <w:rsid w:val="00BB1E53"/>
    <w:rsid w:val="00BB2FA0"/>
    <w:rsid w:val="00BB2FB0"/>
    <w:rsid w:val="00BB30E7"/>
    <w:rsid w:val="00BB312F"/>
    <w:rsid w:val="00BB32A5"/>
    <w:rsid w:val="00BB3CA8"/>
    <w:rsid w:val="00BB3DF4"/>
    <w:rsid w:val="00BB41F3"/>
    <w:rsid w:val="00BB4B44"/>
    <w:rsid w:val="00BB4BAA"/>
    <w:rsid w:val="00BB4C3C"/>
    <w:rsid w:val="00BB4CAC"/>
    <w:rsid w:val="00BB4E60"/>
    <w:rsid w:val="00BB5B7E"/>
    <w:rsid w:val="00BB5FBE"/>
    <w:rsid w:val="00BB6A45"/>
    <w:rsid w:val="00BB6E01"/>
    <w:rsid w:val="00BC03E8"/>
    <w:rsid w:val="00BC0473"/>
    <w:rsid w:val="00BC0A67"/>
    <w:rsid w:val="00BC0C93"/>
    <w:rsid w:val="00BC34EF"/>
    <w:rsid w:val="00BC35B7"/>
    <w:rsid w:val="00BC38A4"/>
    <w:rsid w:val="00BC3B70"/>
    <w:rsid w:val="00BC44AC"/>
    <w:rsid w:val="00BC4A9F"/>
    <w:rsid w:val="00BC4AF0"/>
    <w:rsid w:val="00BC5F9C"/>
    <w:rsid w:val="00BC6000"/>
    <w:rsid w:val="00BC65F0"/>
    <w:rsid w:val="00BC6768"/>
    <w:rsid w:val="00BC68AA"/>
    <w:rsid w:val="00BC6FA1"/>
    <w:rsid w:val="00BC74B6"/>
    <w:rsid w:val="00BC7C19"/>
    <w:rsid w:val="00BD0B03"/>
    <w:rsid w:val="00BD0DBF"/>
    <w:rsid w:val="00BD1571"/>
    <w:rsid w:val="00BD2DE9"/>
    <w:rsid w:val="00BD31F7"/>
    <w:rsid w:val="00BD37FF"/>
    <w:rsid w:val="00BD43CE"/>
    <w:rsid w:val="00BD4796"/>
    <w:rsid w:val="00BD487B"/>
    <w:rsid w:val="00BD4AE5"/>
    <w:rsid w:val="00BD4C5E"/>
    <w:rsid w:val="00BD51F5"/>
    <w:rsid w:val="00BD5427"/>
    <w:rsid w:val="00BD5DBE"/>
    <w:rsid w:val="00BD6CB1"/>
    <w:rsid w:val="00BD6F70"/>
    <w:rsid w:val="00BE0150"/>
    <w:rsid w:val="00BE053E"/>
    <w:rsid w:val="00BE062C"/>
    <w:rsid w:val="00BE2305"/>
    <w:rsid w:val="00BE257F"/>
    <w:rsid w:val="00BE26E5"/>
    <w:rsid w:val="00BE3B71"/>
    <w:rsid w:val="00BE456A"/>
    <w:rsid w:val="00BE458A"/>
    <w:rsid w:val="00BE469B"/>
    <w:rsid w:val="00BE476F"/>
    <w:rsid w:val="00BE4D3B"/>
    <w:rsid w:val="00BE5F94"/>
    <w:rsid w:val="00BE6941"/>
    <w:rsid w:val="00BE6CE9"/>
    <w:rsid w:val="00BE733F"/>
    <w:rsid w:val="00BE7681"/>
    <w:rsid w:val="00BE7886"/>
    <w:rsid w:val="00BF000C"/>
    <w:rsid w:val="00BF00E9"/>
    <w:rsid w:val="00BF03B8"/>
    <w:rsid w:val="00BF05D6"/>
    <w:rsid w:val="00BF1481"/>
    <w:rsid w:val="00BF2742"/>
    <w:rsid w:val="00BF2C18"/>
    <w:rsid w:val="00BF2CA6"/>
    <w:rsid w:val="00BF2E8E"/>
    <w:rsid w:val="00BF3604"/>
    <w:rsid w:val="00BF3CC3"/>
    <w:rsid w:val="00BF4043"/>
    <w:rsid w:val="00BF4738"/>
    <w:rsid w:val="00BF57AE"/>
    <w:rsid w:val="00BF5E78"/>
    <w:rsid w:val="00BF5FAE"/>
    <w:rsid w:val="00BF61D7"/>
    <w:rsid w:val="00BF677F"/>
    <w:rsid w:val="00BF6E56"/>
    <w:rsid w:val="00BF6FE8"/>
    <w:rsid w:val="00BF717B"/>
    <w:rsid w:val="00BF7194"/>
    <w:rsid w:val="00BF79E3"/>
    <w:rsid w:val="00BF7C4A"/>
    <w:rsid w:val="00BF7E74"/>
    <w:rsid w:val="00BF7FC6"/>
    <w:rsid w:val="00C004B2"/>
    <w:rsid w:val="00C0066A"/>
    <w:rsid w:val="00C00A97"/>
    <w:rsid w:val="00C00B5B"/>
    <w:rsid w:val="00C00FE9"/>
    <w:rsid w:val="00C01D15"/>
    <w:rsid w:val="00C022BC"/>
    <w:rsid w:val="00C022C7"/>
    <w:rsid w:val="00C0239C"/>
    <w:rsid w:val="00C02460"/>
    <w:rsid w:val="00C02D16"/>
    <w:rsid w:val="00C03057"/>
    <w:rsid w:val="00C031C0"/>
    <w:rsid w:val="00C0358A"/>
    <w:rsid w:val="00C03C15"/>
    <w:rsid w:val="00C046A2"/>
    <w:rsid w:val="00C04AA5"/>
    <w:rsid w:val="00C05B0E"/>
    <w:rsid w:val="00C05C60"/>
    <w:rsid w:val="00C05FAC"/>
    <w:rsid w:val="00C05FE4"/>
    <w:rsid w:val="00C06033"/>
    <w:rsid w:val="00C06077"/>
    <w:rsid w:val="00C06E12"/>
    <w:rsid w:val="00C07080"/>
    <w:rsid w:val="00C07750"/>
    <w:rsid w:val="00C1043E"/>
    <w:rsid w:val="00C10440"/>
    <w:rsid w:val="00C1061E"/>
    <w:rsid w:val="00C10DB0"/>
    <w:rsid w:val="00C10EDB"/>
    <w:rsid w:val="00C10FDD"/>
    <w:rsid w:val="00C11102"/>
    <w:rsid w:val="00C111EA"/>
    <w:rsid w:val="00C11918"/>
    <w:rsid w:val="00C11E81"/>
    <w:rsid w:val="00C12727"/>
    <w:rsid w:val="00C12820"/>
    <w:rsid w:val="00C12D0C"/>
    <w:rsid w:val="00C13568"/>
    <w:rsid w:val="00C15878"/>
    <w:rsid w:val="00C15AB0"/>
    <w:rsid w:val="00C15E97"/>
    <w:rsid w:val="00C165AE"/>
    <w:rsid w:val="00C16716"/>
    <w:rsid w:val="00C16FAA"/>
    <w:rsid w:val="00C179A1"/>
    <w:rsid w:val="00C17D5C"/>
    <w:rsid w:val="00C17E57"/>
    <w:rsid w:val="00C17E7A"/>
    <w:rsid w:val="00C206FE"/>
    <w:rsid w:val="00C20A68"/>
    <w:rsid w:val="00C211F1"/>
    <w:rsid w:val="00C217E6"/>
    <w:rsid w:val="00C22177"/>
    <w:rsid w:val="00C2229F"/>
    <w:rsid w:val="00C223ED"/>
    <w:rsid w:val="00C2256F"/>
    <w:rsid w:val="00C2335A"/>
    <w:rsid w:val="00C23AC3"/>
    <w:rsid w:val="00C24199"/>
    <w:rsid w:val="00C2482B"/>
    <w:rsid w:val="00C24BC5"/>
    <w:rsid w:val="00C25DCC"/>
    <w:rsid w:val="00C25F3A"/>
    <w:rsid w:val="00C26390"/>
    <w:rsid w:val="00C264E0"/>
    <w:rsid w:val="00C27F18"/>
    <w:rsid w:val="00C312C3"/>
    <w:rsid w:val="00C3133F"/>
    <w:rsid w:val="00C315D9"/>
    <w:rsid w:val="00C31C6D"/>
    <w:rsid w:val="00C3269E"/>
    <w:rsid w:val="00C329F9"/>
    <w:rsid w:val="00C32D55"/>
    <w:rsid w:val="00C32F55"/>
    <w:rsid w:val="00C33CE8"/>
    <w:rsid w:val="00C3445C"/>
    <w:rsid w:val="00C34D3B"/>
    <w:rsid w:val="00C35265"/>
    <w:rsid w:val="00C35318"/>
    <w:rsid w:val="00C3561B"/>
    <w:rsid w:val="00C35E8A"/>
    <w:rsid w:val="00C36614"/>
    <w:rsid w:val="00C4021D"/>
    <w:rsid w:val="00C41860"/>
    <w:rsid w:val="00C41901"/>
    <w:rsid w:val="00C42945"/>
    <w:rsid w:val="00C42969"/>
    <w:rsid w:val="00C434AF"/>
    <w:rsid w:val="00C43710"/>
    <w:rsid w:val="00C43D2B"/>
    <w:rsid w:val="00C44319"/>
    <w:rsid w:val="00C45285"/>
    <w:rsid w:val="00C45CD6"/>
    <w:rsid w:val="00C45FD6"/>
    <w:rsid w:val="00C465AB"/>
    <w:rsid w:val="00C466F0"/>
    <w:rsid w:val="00C46781"/>
    <w:rsid w:val="00C468FB"/>
    <w:rsid w:val="00C46D2D"/>
    <w:rsid w:val="00C47635"/>
    <w:rsid w:val="00C4763C"/>
    <w:rsid w:val="00C47B5C"/>
    <w:rsid w:val="00C47CF7"/>
    <w:rsid w:val="00C47D69"/>
    <w:rsid w:val="00C50981"/>
    <w:rsid w:val="00C511C5"/>
    <w:rsid w:val="00C51426"/>
    <w:rsid w:val="00C51CA3"/>
    <w:rsid w:val="00C51D69"/>
    <w:rsid w:val="00C51F09"/>
    <w:rsid w:val="00C52791"/>
    <w:rsid w:val="00C53191"/>
    <w:rsid w:val="00C54339"/>
    <w:rsid w:val="00C545E8"/>
    <w:rsid w:val="00C54642"/>
    <w:rsid w:val="00C54AB4"/>
    <w:rsid w:val="00C54B8D"/>
    <w:rsid w:val="00C567FD"/>
    <w:rsid w:val="00C56D90"/>
    <w:rsid w:val="00C56ED6"/>
    <w:rsid w:val="00C5725A"/>
    <w:rsid w:val="00C602B7"/>
    <w:rsid w:val="00C60457"/>
    <w:rsid w:val="00C605DB"/>
    <w:rsid w:val="00C60BDC"/>
    <w:rsid w:val="00C61592"/>
    <w:rsid w:val="00C62806"/>
    <w:rsid w:val="00C6296D"/>
    <w:rsid w:val="00C62E87"/>
    <w:rsid w:val="00C630B4"/>
    <w:rsid w:val="00C632E2"/>
    <w:rsid w:val="00C644C3"/>
    <w:rsid w:val="00C64B1A"/>
    <w:rsid w:val="00C64F07"/>
    <w:rsid w:val="00C65860"/>
    <w:rsid w:val="00C659F0"/>
    <w:rsid w:val="00C65A44"/>
    <w:rsid w:val="00C65B0C"/>
    <w:rsid w:val="00C65FDE"/>
    <w:rsid w:val="00C66049"/>
    <w:rsid w:val="00C66050"/>
    <w:rsid w:val="00C661B2"/>
    <w:rsid w:val="00C667F4"/>
    <w:rsid w:val="00C66926"/>
    <w:rsid w:val="00C66927"/>
    <w:rsid w:val="00C66DEB"/>
    <w:rsid w:val="00C67E51"/>
    <w:rsid w:val="00C70657"/>
    <w:rsid w:val="00C70988"/>
    <w:rsid w:val="00C70CC3"/>
    <w:rsid w:val="00C71214"/>
    <w:rsid w:val="00C7204C"/>
    <w:rsid w:val="00C72574"/>
    <w:rsid w:val="00C729A4"/>
    <w:rsid w:val="00C7551B"/>
    <w:rsid w:val="00C756E6"/>
    <w:rsid w:val="00C77186"/>
    <w:rsid w:val="00C77895"/>
    <w:rsid w:val="00C77A32"/>
    <w:rsid w:val="00C77C27"/>
    <w:rsid w:val="00C77E44"/>
    <w:rsid w:val="00C77E55"/>
    <w:rsid w:val="00C77F36"/>
    <w:rsid w:val="00C77FED"/>
    <w:rsid w:val="00C8057A"/>
    <w:rsid w:val="00C80856"/>
    <w:rsid w:val="00C809E8"/>
    <w:rsid w:val="00C8105F"/>
    <w:rsid w:val="00C8112E"/>
    <w:rsid w:val="00C81458"/>
    <w:rsid w:val="00C81FC2"/>
    <w:rsid w:val="00C821ED"/>
    <w:rsid w:val="00C829FF"/>
    <w:rsid w:val="00C82A27"/>
    <w:rsid w:val="00C82AE2"/>
    <w:rsid w:val="00C82C43"/>
    <w:rsid w:val="00C83331"/>
    <w:rsid w:val="00C83437"/>
    <w:rsid w:val="00C834AE"/>
    <w:rsid w:val="00C83737"/>
    <w:rsid w:val="00C83B5C"/>
    <w:rsid w:val="00C83E52"/>
    <w:rsid w:val="00C845F1"/>
    <w:rsid w:val="00C85594"/>
    <w:rsid w:val="00C86106"/>
    <w:rsid w:val="00C862B4"/>
    <w:rsid w:val="00C86575"/>
    <w:rsid w:val="00C86C8C"/>
    <w:rsid w:val="00C872A9"/>
    <w:rsid w:val="00C87A7F"/>
    <w:rsid w:val="00C87AD7"/>
    <w:rsid w:val="00C87B5B"/>
    <w:rsid w:val="00C900D8"/>
    <w:rsid w:val="00C906A7"/>
    <w:rsid w:val="00C92745"/>
    <w:rsid w:val="00C92814"/>
    <w:rsid w:val="00C92A30"/>
    <w:rsid w:val="00C92AAA"/>
    <w:rsid w:val="00C9374C"/>
    <w:rsid w:val="00C9401E"/>
    <w:rsid w:val="00C943E0"/>
    <w:rsid w:val="00C9459B"/>
    <w:rsid w:val="00C94AE3"/>
    <w:rsid w:val="00C95C86"/>
    <w:rsid w:val="00C95CDB"/>
    <w:rsid w:val="00C95E7C"/>
    <w:rsid w:val="00C9603A"/>
    <w:rsid w:val="00C96232"/>
    <w:rsid w:val="00C9719F"/>
    <w:rsid w:val="00C9739F"/>
    <w:rsid w:val="00C97480"/>
    <w:rsid w:val="00C97487"/>
    <w:rsid w:val="00C97CA5"/>
    <w:rsid w:val="00C97FAF"/>
    <w:rsid w:val="00CA0B69"/>
    <w:rsid w:val="00CA0BA5"/>
    <w:rsid w:val="00CA1950"/>
    <w:rsid w:val="00CA2302"/>
    <w:rsid w:val="00CA2A93"/>
    <w:rsid w:val="00CA409F"/>
    <w:rsid w:val="00CA635F"/>
    <w:rsid w:val="00CA64AA"/>
    <w:rsid w:val="00CA6746"/>
    <w:rsid w:val="00CA6BD1"/>
    <w:rsid w:val="00CA76E0"/>
    <w:rsid w:val="00CB0520"/>
    <w:rsid w:val="00CB0AE0"/>
    <w:rsid w:val="00CB0E82"/>
    <w:rsid w:val="00CB1B49"/>
    <w:rsid w:val="00CB1DC2"/>
    <w:rsid w:val="00CB24FE"/>
    <w:rsid w:val="00CB3358"/>
    <w:rsid w:val="00CB33A4"/>
    <w:rsid w:val="00CB4067"/>
    <w:rsid w:val="00CB4F13"/>
    <w:rsid w:val="00CB5218"/>
    <w:rsid w:val="00CB57BE"/>
    <w:rsid w:val="00CB5BA3"/>
    <w:rsid w:val="00CB5C58"/>
    <w:rsid w:val="00CB62CD"/>
    <w:rsid w:val="00CB63A8"/>
    <w:rsid w:val="00CB6D33"/>
    <w:rsid w:val="00CB6F6B"/>
    <w:rsid w:val="00CB769A"/>
    <w:rsid w:val="00CB77EE"/>
    <w:rsid w:val="00CB7884"/>
    <w:rsid w:val="00CB7EC5"/>
    <w:rsid w:val="00CC0876"/>
    <w:rsid w:val="00CC0B39"/>
    <w:rsid w:val="00CC0F2D"/>
    <w:rsid w:val="00CC1B9E"/>
    <w:rsid w:val="00CC1C29"/>
    <w:rsid w:val="00CC221A"/>
    <w:rsid w:val="00CC28EC"/>
    <w:rsid w:val="00CC2D31"/>
    <w:rsid w:val="00CC317E"/>
    <w:rsid w:val="00CC39F0"/>
    <w:rsid w:val="00CC4228"/>
    <w:rsid w:val="00CC481B"/>
    <w:rsid w:val="00CC4ACE"/>
    <w:rsid w:val="00CC4D5B"/>
    <w:rsid w:val="00CC5048"/>
    <w:rsid w:val="00CC5FFF"/>
    <w:rsid w:val="00CC72CD"/>
    <w:rsid w:val="00CC7599"/>
    <w:rsid w:val="00CC7892"/>
    <w:rsid w:val="00CC7D00"/>
    <w:rsid w:val="00CD00EC"/>
    <w:rsid w:val="00CD04A7"/>
    <w:rsid w:val="00CD06CE"/>
    <w:rsid w:val="00CD0EC8"/>
    <w:rsid w:val="00CD163D"/>
    <w:rsid w:val="00CD1AC3"/>
    <w:rsid w:val="00CD1BA8"/>
    <w:rsid w:val="00CD1C4C"/>
    <w:rsid w:val="00CD2950"/>
    <w:rsid w:val="00CD3121"/>
    <w:rsid w:val="00CD3361"/>
    <w:rsid w:val="00CD36B9"/>
    <w:rsid w:val="00CD3CE2"/>
    <w:rsid w:val="00CD3EA1"/>
    <w:rsid w:val="00CD4388"/>
    <w:rsid w:val="00CD4B20"/>
    <w:rsid w:val="00CD4E54"/>
    <w:rsid w:val="00CD5E77"/>
    <w:rsid w:val="00CD67A3"/>
    <w:rsid w:val="00CD684C"/>
    <w:rsid w:val="00CD7675"/>
    <w:rsid w:val="00CE052A"/>
    <w:rsid w:val="00CE09D5"/>
    <w:rsid w:val="00CE0F89"/>
    <w:rsid w:val="00CE1830"/>
    <w:rsid w:val="00CE1873"/>
    <w:rsid w:val="00CE19DB"/>
    <w:rsid w:val="00CE1D17"/>
    <w:rsid w:val="00CE1D31"/>
    <w:rsid w:val="00CE21BF"/>
    <w:rsid w:val="00CE24C0"/>
    <w:rsid w:val="00CE2661"/>
    <w:rsid w:val="00CE2892"/>
    <w:rsid w:val="00CE29DE"/>
    <w:rsid w:val="00CE2F6C"/>
    <w:rsid w:val="00CE375B"/>
    <w:rsid w:val="00CE40AD"/>
    <w:rsid w:val="00CE4B09"/>
    <w:rsid w:val="00CE4ECD"/>
    <w:rsid w:val="00CE594E"/>
    <w:rsid w:val="00CE5E70"/>
    <w:rsid w:val="00CE619C"/>
    <w:rsid w:val="00CE7ABE"/>
    <w:rsid w:val="00CE7FF3"/>
    <w:rsid w:val="00CF09AD"/>
    <w:rsid w:val="00CF0D30"/>
    <w:rsid w:val="00CF0D3E"/>
    <w:rsid w:val="00CF1634"/>
    <w:rsid w:val="00CF1870"/>
    <w:rsid w:val="00CF1F93"/>
    <w:rsid w:val="00CF2084"/>
    <w:rsid w:val="00CF2A2A"/>
    <w:rsid w:val="00CF3429"/>
    <w:rsid w:val="00CF3BAC"/>
    <w:rsid w:val="00CF3D93"/>
    <w:rsid w:val="00CF3FFC"/>
    <w:rsid w:val="00CF40C3"/>
    <w:rsid w:val="00CF4AF9"/>
    <w:rsid w:val="00CF4B25"/>
    <w:rsid w:val="00CF530B"/>
    <w:rsid w:val="00CF5810"/>
    <w:rsid w:val="00CF590C"/>
    <w:rsid w:val="00CF5D4B"/>
    <w:rsid w:val="00CF64C6"/>
    <w:rsid w:val="00CF6A5A"/>
    <w:rsid w:val="00CF78DC"/>
    <w:rsid w:val="00CF7A70"/>
    <w:rsid w:val="00D00626"/>
    <w:rsid w:val="00D006D2"/>
    <w:rsid w:val="00D00B9F"/>
    <w:rsid w:val="00D00E12"/>
    <w:rsid w:val="00D01572"/>
    <w:rsid w:val="00D018F9"/>
    <w:rsid w:val="00D01935"/>
    <w:rsid w:val="00D022EA"/>
    <w:rsid w:val="00D029AD"/>
    <w:rsid w:val="00D02B2B"/>
    <w:rsid w:val="00D02BFE"/>
    <w:rsid w:val="00D032CC"/>
    <w:rsid w:val="00D03567"/>
    <w:rsid w:val="00D039A4"/>
    <w:rsid w:val="00D03D7C"/>
    <w:rsid w:val="00D04706"/>
    <w:rsid w:val="00D05156"/>
    <w:rsid w:val="00D0545A"/>
    <w:rsid w:val="00D0617B"/>
    <w:rsid w:val="00D06464"/>
    <w:rsid w:val="00D06FD0"/>
    <w:rsid w:val="00D071F4"/>
    <w:rsid w:val="00D0738D"/>
    <w:rsid w:val="00D07950"/>
    <w:rsid w:val="00D07ACE"/>
    <w:rsid w:val="00D07BC6"/>
    <w:rsid w:val="00D07E6E"/>
    <w:rsid w:val="00D100F5"/>
    <w:rsid w:val="00D110CE"/>
    <w:rsid w:val="00D11528"/>
    <w:rsid w:val="00D1290A"/>
    <w:rsid w:val="00D12E38"/>
    <w:rsid w:val="00D13028"/>
    <w:rsid w:val="00D13B29"/>
    <w:rsid w:val="00D13D4E"/>
    <w:rsid w:val="00D13ECE"/>
    <w:rsid w:val="00D14F44"/>
    <w:rsid w:val="00D16873"/>
    <w:rsid w:val="00D16959"/>
    <w:rsid w:val="00D16A13"/>
    <w:rsid w:val="00D20781"/>
    <w:rsid w:val="00D20AA3"/>
    <w:rsid w:val="00D21141"/>
    <w:rsid w:val="00D219B4"/>
    <w:rsid w:val="00D2226D"/>
    <w:rsid w:val="00D23990"/>
    <w:rsid w:val="00D23FE0"/>
    <w:rsid w:val="00D243A8"/>
    <w:rsid w:val="00D2471F"/>
    <w:rsid w:val="00D2486E"/>
    <w:rsid w:val="00D24ADE"/>
    <w:rsid w:val="00D24B30"/>
    <w:rsid w:val="00D2542D"/>
    <w:rsid w:val="00D25BDE"/>
    <w:rsid w:val="00D26046"/>
    <w:rsid w:val="00D260CD"/>
    <w:rsid w:val="00D2648E"/>
    <w:rsid w:val="00D26D4F"/>
    <w:rsid w:val="00D273A3"/>
    <w:rsid w:val="00D27A98"/>
    <w:rsid w:val="00D30384"/>
    <w:rsid w:val="00D3038D"/>
    <w:rsid w:val="00D30A49"/>
    <w:rsid w:val="00D30F3E"/>
    <w:rsid w:val="00D316AD"/>
    <w:rsid w:val="00D31B80"/>
    <w:rsid w:val="00D320EB"/>
    <w:rsid w:val="00D32226"/>
    <w:rsid w:val="00D324C5"/>
    <w:rsid w:val="00D32867"/>
    <w:rsid w:val="00D33CEC"/>
    <w:rsid w:val="00D33DCD"/>
    <w:rsid w:val="00D34029"/>
    <w:rsid w:val="00D34034"/>
    <w:rsid w:val="00D34AC0"/>
    <w:rsid w:val="00D34E00"/>
    <w:rsid w:val="00D35151"/>
    <w:rsid w:val="00D355FC"/>
    <w:rsid w:val="00D357E5"/>
    <w:rsid w:val="00D3595A"/>
    <w:rsid w:val="00D35A04"/>
    <w:rsid w:val="00D35C52"/>
    <w:rsid w:val="00D35E18"/>
    <w:rsid w:val="00D3639A"/>
    <w:rsid w:val="00D364E3"/>
    <w:rsid w:val="00D37076"/>
    <w:rsid w:val="00D37D36"/>
    <w:rsid w:val="00D37DFF"/>
    <w:rsid w:val="00D402E7"/>
    <w:rsid w:val="00D405DE"/>
    <w:rsid w:val="00D4145E"/>
    <w:rsid w:val="00D421FE"/>
    <w:rsid w:val="00D42236"/>
    <w:rsid w:val="00D42457"/>
    <w:rsid w:val="00D42523"/>
    <w:rsid w:val="00D4293F"/>
    <w:rsid w:val="00D429D4"/>
    <w:rsid w:val="00D435A1"/>
    <w:rsid w:val="00D4412E"/>
    <w:rsid w:val="00D44301"/>
    <w:rsid w:val="00D446AC"/>
    <w:rsid w:val="00D45553"/>
    <w:rsid w:val="00D45884"/>
    <w:rsid w:val="00D45A4D"/>
    <w:rsid w:val="00D45C7E"/>
    <w:rsid w:val="00D46493"/>
    <w:rsid w:val="00D46913"/>
    <w:rsid w:val="00D46BB5"/>
    <w:rsid w:val="00D46D92"/>
    <w:rsid w:val="00D474F1"/>
    <w:rsid w:val="00D47526"/>
    <w:rsid w:val="00D47764"/>
    <w:rsid w:val="00D51404"/>
    <w:rsid w:val="00D52128"/>
    <w:rsid w:val="00D52372"/>
    <w:rsid w:val="00D528B3"/>
    <w:rsid w:val="00D52E9D"/>
    <w:rsid w:val="00D53ADE"/>
    <w:rsid w:val="00D54D23"/>
    <w:rsid w:val="00D5539B"/>
    <w:rsid w:val="00D5552E"/>
    <w:rsid w:val="00D562C7"/>
    <w:rsid w:val="00D56725"/>
    <w:rsid w:val="00D5720A"/>
    <w:rsid w:val="00D6066F"/>
    <w:rsid w:val="00D62293"/>
    <w:rsid w:val="00D628A0"/>
    <w:rsid w:val="00D62AAE"/>
    <w:rsid w:val="00D63227"/>
    <w:rsid w:val="00D632B8"/>
    <w:rsid w:val="00D63E10"/>
    <w:rsid w:val="00D64364"/>
    <w:rsid w:val="00D64694"/>
    <w:rsid w:val="00D6488D"/>
    <w:rsid w:val="00D64CDD"/>
    <w:rsid w:val="00D64D17"/>
    <w:rsid w:val="00D652F7"/>
    <w:rsid w:val="00D65797"/>
    <w:rsid w:val="00D659EE"/>
    <w:rsid w:val="00D65C8B"/>
    <w:rsid w:val="00D65DA5"/>
    <w:rsid w:val="00D66481"/>
    <w:rsid w:val="00D66C07"/>
    <w:rsid w:val="00D66C1E"/>
    <w:rsid w:val="00D66C9D"/>
    <w:rsid w:val="00D66FE4"/>
    <w:rsid w:val="00D67A3A"/>
    <w:rsid w:val="00D67AB7"/>
    <w:rsid w:val="00D704F2"/>
    <w:rsid w:val="00D70816"/>
    <w:rsid w:val="00D71565"/>
    <w:rsid w:val="00D719B1"/>
    <w:rsid w:val="00D7200B"/>
    <w:rsid w:val="00D7267D"/>
    <w:rsid w:val="00D72951"/>
    <w:rsid w:val="00D7341B"/>
    <w:rsid w:val="00D737C7"/>
    <w:rsid w:val="00D73D7C"/>
    <w:rsid w:val="00D748CB"/>
    <w:rsid w:val="00D74D0E"/>
    <w:rsid w:val="00D75826"/>
    <w:rsid w:val="00D75AA5"/>
    <w:rsid w:val="00D76201"/>
    <w:rsid w:val="00D768EA"/>
    <w:rsid w:val="00D76CD6"/>
    <w:rsid w:val="00D76CF8"/>
    <w:rsid w:val="00D77547"/>
    <w:rsid w:val="00D77D75"/>
    <w:rsid w:val="00D8013D"/>
    <w:rsid w:val="00D804BF"/>
    <w:rsid w:val="00D80927"/>
    <w:rsid w:val="00D809B9"/>
    <w:rsid w:val="00D815D4"/>
    <w:rsid w:val="00D81DD0"/>
    <w:rsid w:val="00D824CB"/>
    <w:rsid w:val="00D828B9"/>
    <w:rsid w:val="00D82B6B"/>
    <w:rsid w:val="00D84800"/>
    <w:rsid w:val="00D84E69"/>
    <w:rsid w:val="00D85C6C"/>
    <w:rsid w:val="00D85CE3"/>
    <w:rsid w:val="00D867FE"/>
    <w:rsid w:val="00D86A53"/>
    <w:rsid w:val="00D8742E"/>
    <w:rsid w:val="00D87EB5"/>
    <w:rsid w:val="00D90039"/>
    <w:rsid w:val="00D90746"/>
    <w:rsid w:val="00D90A37"/>
    <w:rsid w:val="00D90ED2"/>
    <w:rsid w:val="00D91054"/>
    <w:rsid w:val="00D911E3"/>
    <w:rsid w:val="00D911F7"/>
    <w:rsid w:val="00D91C68"/>
    <w:rsid w:val="00D91F83"/>
    <w:rsid w:val="00D92BC3"/>
    <w:rsid w:val="00D92E50"/>
    <w:rsid w:val="00D931FA"/>
    <w:rsid w:val="00D93226"/>
    <w:rsid w:val="00D93976"/>
    <w:rsid w:val="00D93F60"/>
    <w:rsid w:val="00D941A6"/>
    <w:rsid w:val="00D943E2"/>
    <w:rsid w:val="00D94469"/>
    <w:rsid w:val="00D947B0"/>
    <w:rsid w:val="00D949B8"/>
    <w:rsid w:val="00D94DA2"/>
    <w:rsid w:val="00D9517A"/>
    <w:rsid w:val="00D9584B"/>
    <w:rsid w:val="00D95D1A"/>
    <w:rsid w:val="00D95D1B"/>
    <w:rsid w:val="00D96065"/>
    <w:rsid w:val="00D963A7"/>
    <w:rsid w:val="00D965AE"/>
    <w:rsid w:val="00D96806"/>
    <w:rsid w:val="00D96DE3"/>
    <w:rsid w:val="00D979A0"/>
    <w:rsid w:val="00DA0FC1"/>
    <w:rsid w:val="00DA2391"/>
    <w:rsid w:val="00DA25D6"/>
    <w:rsid w:val="00DA27AB"/>
    <w:rsid w:val="00DA31F1"/>
    <w:rsid w:val="00DA4FA7"/>
    <w:rsid w:val="00DA5548"/>
    <w:rsid w:val="00DA5550"/>
    <w:rsid w:val="00DA55AF"/>
    <w:rsid w:val="00DA57A5"/>
    <w:rsid w:val="00DA5801"/>
    <w:rsid w:val="00DA5E82"/>
    <w:rsid w:val="00DA6186"/>
    <w:rsid w:val="00DA65DD"/>
    <w:rsid w:val="00DA6B22"/>
    <w:rsid w:val="00DA6B43"/>
    <w:rsid w:val="00DA6C5B"/>
    <w:rsid w:val="00DA6FDD"/>
    <w:rsid w:val="00DA7C99"/>
    <w:rsid w:val="00DB0B98"/>
    <w:rsid w:val="00DB10F2"/>
    <w:rsid w:val="00DB1144"/>
    <w:rsid w:val="00DB22E5"/>
    <w:rsid w:val="00DB2B0F"/>
    <w:rsid w:val="00DB2C95"/>
    <w:rsid w:val="00DB3C19"/>
    <w:rsid w:val="00DB3DD7"/>
    <w:rsid w:val="00DB4BE0"/>
    <w:rsid w:val="00DB5305"/>
    <w:rsid w:val="00DB5BAA"/>
    <w:rsid w:val="00DB68EE"/>
    <w:rsid w:val="00DC06AC"/>
    <w:rsid w:val="00DC06EE"/>
    <w:rsid w:val="00DC0FE8"/>
    <w:rsid w:val="00DC10D3"/>
    <w:rsid w:val="00DC20A5"/>
    <w:rsid w:val="00DC2ACB"/>
    <w:rsid w:val="00DC2F29"/>
    <w:rsid w:val="00DC349C"/>
    <w:rsid w:val="00DC3C86"/>
    <w:rsid w:val="00DC3C97"/>
    <w:rsid w:val="00DC3D1C"/>
    <w:rsid w:val="00DC3FE2"/>
    <w:rsid w:val="00DC62D0"/>
    <w:rsid w:val="00DC6B32"/>
    <w:rsid w:val="00DD1002"/>
    <w:rsid w:val="00DD1418"/>
    <w:rsid w:val="00DD1634"/>
    <w:rsid w:val="00DD1912"/>
    <w:rsid w:val="00DD1AB7"/>
    <w:rsid w:val="00DD201C"/>
    <w:rsid w:val="00DD2342"/>
    <w:rsid w:val="00DD2425"/>
    <w:rsid w:val="00DD2680"/>
    <w:rsid w:val="00DD2F46"/>
    <w:rsid w:val="00DD3D68"/>
    <w:rsid w:val="00DD4E30"/>
    <w:rsid w:val="00DD52B6"/>
    <w:rsid w:val="00DD52E0"/>
    <w:rsid w:val="00DD537E"/>
    <w:rsid w:val="00DD5BE4"/>
    <w:rsid w:val="00DD5C43"/>
    <w:rsid w:val="00DD5E3D"/>
    <w:rsid w:val="00DD5EB6"/>
    <w:rsid w:val="00DD62F2"/>
    <w:rsid w:val="00DD63B7"/>
    <w:rsid w:val="00DD69A4"/>
    <w:rsid w:val="00DE0465"/>
    <w:rsid w:val="00DE051C"/>
    <w:rsid w:val="00DE0538"/>
    <w:rsid w:val="00DE1D2F"/>
    <w:rsid w:val="00DE1FA6"/>
    <w:rsid w:val="00DE2A0F"/>
    <w:rsid w:val="00DE2B92"/>
    <w:rsid w:val="00DE3340"/>
    <w:rsid w:val="00DE3954"/>
    <w:rsid w:val="00DE3F7E"/>
    <w:rsid w:val="00DE40A1"/>
    <w:rsid w:val="00DE4B4E"/>
    <w:rsid w:val="00DE4D36"/>
    <w:rsid w:val="00DE524C"/>
    <w:rsid w:val="00DE64E6"/>
    <w:rsid w:val="00DE657B"/>
    <w:rsid w:val="00DE6E70"/>
    <w:rsid w:val="00DE74F1"/>
    <w:rsid w:val="00DE7B83"/>
    <w:rsid w:val="00DF030A"/>
    <w:rsid w:val="00DF05E6"/>
    <w:rsid w:val="00DF0B4E"/>
    <w:rsid w:val="00DF0BF2"/>
    <w:rsid w:val="00DF0F49"/>
    <w:rsid w:val="00DF1183"/>
    <w:rsid w:val="00DF15C3"/>
    <w:rsid w:val="00DF1F63"/>
    <w:rsid w:val="00DF25F0"/>
    <w:rsid w:val="00DF271C"/>
    <w:rsid w:val="00DF2D5E"/>
    <w:rsid w:val="00DF32C0"/>
    <w:rsid w:val="00DF3573"/>
    <w:rsid w:val="00DF36CB"/>
    <w:rsid w:val="00DF4E53"/>
    <w:rsid w:val="00DF5ACD"/>
    <w:rsid w:val="00DF61F0"/>
    <w:rsid w:val="00DF6466"/>
    <w:rsid w:val="00DF6CB9"/>
    <w:rsid w:val="00DF6E91"/>
    <w:rsid w:val="00DF708F"/>
    <w:rsid w:val="00DF7E02"/>
    <w:rsid w:val="00E011E1"/>
    <w:rsid w:val="00E012E8"/>
    <w:rsid w:val="00E01E2F"/>
    <w:rsid w:val="00E01EC6"/>
    <w:rsid w:val="00E02CB5"/>
    <w:rsid w:val="00E02DA9"/>
    <w:rsid w:val="00E0388A"/>
    <w:rsid w:val="00E03C70"/>
    <w:rsid w:val="00E06311"/>
    <w:rsid w:val="00E06905"/>
    <w:rsid w:val="00E069F9"/>
    <w:rsid w:val="00E10751"/>
    <w:rsid w:val="00E10A64"/>
    <w:rsid w:val="00E10C88"/>
    <w:rsid w:val="00E10E0F"/>
    <w:rsid w:val="00E10F1A"/>
    <w:rsid w:val="00E10F65"/>
    <w:rsid w:val="00E10F8C"/>
    <w:rsid w:val="00E11653"/>
    <w:rsid w:val="00E11878"/>
    <w:rsid w:val="00E11C46"/>
    <w:rsid w:val="00E12428"/>
    <w:rsid w:val="00E131E9"/>
    <w:rsid w:val="00E144D0"/>
    <w:rsid w:val="00E14B57"/>
    <w:rsid w:val="00E15A54"/>
    <w:rsid w:val="00E15D84"/>
    <w:rsid w:val="00E16E44"/>
    <w:rsid w:val="00E17158"/>
    <w:rsid w:val="00E17393"/>
    <w:rsid w:val="00E178DF"/>
    <w:rsid w:val="00E179FB"/>
    <w:rsid w:val="00E17A61"/>
    <w:rsid w:val="00E17C5B"/>
    <w:rsid w:val="00E17E63"/>
    <w:rsid w:val="00E204FC"/>
    <w:rsid w:val="00E207AA"/>
    <w:rsid w:val="00E207B8"/>
    <w:rsid w:val="00E2194F"/>
    <w:rsid w:val="00E21BFD"/>
    <w:rsid w:val="00E21CCF"/>
    <w:rsid w:val="00E22AF4"/>
    <w:rsid w:val="00E22D25"/>
    <w:rsid w:val="00E234B0"/>
    <w:rsid w:val="00E2392E"/>
    <w:rsid w:val="00E249C7"/>
    <w:rsid w:val="00E24E8C"/>
    <w:rsid w:val="00E25020"/>
    <w:rsid w:val="00E256E3"/>
    <w:rsid w:val="00E25A76"/>
    <w:rsid w:val="00E25B50"/>
    <w:rsid w:val="00E25F9A"/>
    <w:rsid w:val="00E26004"/>
    <w:rsid w:val="00E26118"/>
    <w:rsid w:val="00E26157"/>
    <w:rsid w:val="00E261A6"/>
    <w:rsid w:val="00E272B9"/>
    <w:rsid w:val="00E276C6"/>
    <w:rsid w:val="00E279B5"/>
    <w:rsid w:val="00E27A4E"/>
    <w:rsid w:val="00E27A6A"/>
    <w:rsid w:val="00E301B1"/>
    <w:rsid w:val="00E30E0A"/>
    <w:rsid w:val="00E31631"/>
    <w:rsid w:val="00E31C2B"/>
    <w:rsid w:val="00E3255A"/>
    <w:rsid w:val="00E329DF"/>
    <w:rsid w:val="00E32D6B"/>
    <w:rsid w:val="00E32D77"/>
    <w:rsid w:val="00E3308B"/>
    <w:rsid w:val="00E33688"/>
    <w:rsid w:val="00E3401F"/>
    <w:rsid w:val="00E350F8"/>
    <w:rsid w:val="00E35DC5"/>
    <w:rsid w:val="00E35EF5"/>
    <w:rsid w:val="00E35F7A"/>
    <w:rsid w:val="00E36C89"/>
    <w:rsid w:val="00E3704A"/>
    <w:rsid w:val="00E37AC4"/>
    <w:rsid w:val="00E4050A"/>
    <w:rsid w:val="00E4052F"/>
    <w:rsid w:val="00E407B9"/>
    <w:rsid w:val="00E40FE3"/>
    <w:rsid w:val="00E411CC"/>
    <w:rsid w:val="00E413C0"/>
    <w:rsid w:val="00E4165E"/>
    <w:rsid w:val="00E41740"/>
    <w:rsid w:val="00E4179B"/>
    <w:rsid w:val="00E41C03"/>
    <w:rsid w:val="00E42081"/>
    <w:rsid w:val="00E424B7"/>
    <w:rsid w:val="00E4280F"/>
    <w:rsid w:val="00E42A1A"/>
    <w:rsid w:val="00E42B10"/>
    <w:rsid w:val="00E42D58"/>
    <w:rsid w:val="00E4322E"/>
    <w:rsid w:val="00E43F5D"/>
    <w:rsid w:val="00E44001"/>
    <w:rsid w:val="00E44C01"/>
    <w:rsid w:val="00E44E8E"/>
    <w:rsid w:val="00E455F2"/>
    <w:rsid w:val="00E45A28"/>
    <w:rsid w:val="00E45ABC"/>
    <w:rsid w:val="00E46526"/>
    <w:rsid w:val="00E4660B"/>
    <w:rsid w:val="00E46943"/>
    <w:rsid w:val="00E46EFE"/>
    <w:rsid w:val="00E47662"/>
    <w:rsid w:val="00E47B1C"/>
    <w:rsid w:val="00E47CFC"/>
    <w:rsid w:val="00E47FC3"/>
    <w:rsid w:val="00E50A21"/>
    <w:rsid w:val="00E50A7A"/>
    <w:rsid w:val="00E50D7E"/>
    <w:rsid w:val="00E50DAF"/>
    <w:rsid w:val="00E51C10"/>
    <w:rsid w:val="00E52183"/>
    <w:rsid w:val="00E52318"/>
    <w:rsid w:val="00E52768"/>
    <w:rsid w:val="00E52B30"/>
    <w:rsid w:val="00E52F85"/>
    <w:rsid w:val="00E5339B"/>
    <w:rsid w:val="00E53801"/>
    <w:rsid w:val="00E54429"/>
    <w:rsid w:val="00E5447C"/>
    <w:rsid w:val="00E546F4"/>
    <w:rsid w:val="00E5472F"/>
    <w:rsid w:val="00E54A17"/>
    <w:rsid w:val="00E54A31"/>
    <w:rsid w:val="00E54F7F"/>
    <w:rsid w:val="00E550F0"/>
    <w:rsid w:val="00E56D26"/>
    <w:rsid w:val="00E56E18"/>
    <w:rsid w:val="00E56E25"/>
    <w:rsid w:val="00E5778E"/>
    <w:rsid w:val="00E57809"/>
    <w:rsid w:val="00E57A33"/>
    <w:rsid w:val="00E57D90"/>
    <w:rsid w:val="00E57E2F"/>
    <w:rsid w:val="00E60240"/>
    <w:rsid w:val="00E60395"/>
    <w:rsid w:val="00E6120E"/>
    <w:rsid w:val="00E6155B"/>
    <w:rsid w:val="00E61F48"/>
    <w:rsid w:val="00E62224"/>
    <w:rsid w:val="00E62661"/>
    <w:rsid w:val="00E63051"/>
    <w:rsid w:val="00E6389D"/>
    <w:rsid w:val="00E65329"/>
    <w:rsid w:val="00E6568F"/>
    <w:rsid w:val="00E65BB6"/>
    <w:rsid w:val="00E663A2"/>
    <w:rsid w:val="00E66BE6"/>
    <w:rsid w:val="00E670BA"/>
    <w:rsid w:val="00E700E8"/>
    <w:rsid w:val="00E70265"/>
    <w:rsid w:val="00E70743"/>
    <w:rsid w:val="00E71C72"/>
    <w:rsid w:val="00E71DED"/>
    <w:rsid w:val="00E728CC"/>
    <w:rsid w:val="00E73B38"/>
    <w:rsid w:val="00E73C46"/>
    <w:rsid w:val="00E742A2"/>
    <w:rsid w:val="00E74CA6"/>
    <w:rsid w:val="00E74EBE"/>
    <w:rsid w:val="00E750ED"/>
    <w:rsid w:val="00E759F1"/>
    <w:rsid w:val="00E76687"/>
    <w:rsid w:val="00E775BC"/>
    <w:rsid w:val="00E77EDC"/>
    <w:rsid w:val="00E8021B"/>
    <w:rsid w:val="00E804F4"/>
    <w:rsid w:val="00E80559"/>
    <w:rsid w:val="00E8056A"/>
    <w:rsid w:val="00E807D6"/>
    <w:rsid w:val="00E80B36"/>
    <w:rsid w:val="00E81316"/>
    <w:rsid w:val="00E814B5"/>
    <w:rsid w:val="00E81785"/>
    <w:rsid w:val="00E818D4"/>
    <w:rsid w:val="00E81CE4"/>
    <w:rsid w:val="00E81EC6"/>
    <w:rsid w:val="00E82168"/>
    <w:rsid w:val="00E824BD"/>
    <w:rsid w:val="00E824E4"/>
    <w:rsid w:val="00E82704"/>
    <w:rsid w:val="00E8284C"/>
    <w:rsid w:val="00E843EE"/>
    <w:rsid w:val="00E846E6"/>
    <w:rsid w:val="00E84B64"/>
    <w:rsid w:val="00E84E45"/>
    <w:rsid w:val="00E85125"/>
    <w:rsid w:val="00E857C1"/>
    <w:rsid w:val="00E858EB"/>
    <w:rsid w:val="00E8591E"/>
    <w:rsid w:val="00E85D74"/>
    <w:rsid w:val="00E85DCE"/>
    <w:rsid w:val="00E868B7"/>
    <w:rsid w:val="00E86A36"/>
    <w:rsid w:val="00E870E7"/>
    <w:rsid w:val="00E87248"/>
    <w:rsid w:val="00E908D9"/>
    <w:rsid w:val="00E91B5D"/>
    <w:rsid w:val="00E92364"/>
    <w:rsid w:val="00E9236C"/>
    <w:rsid w:val="00E926D9"/>
    <w:rsid w:val="00E927CF"/>
    <w:rsid w:val="00E93D2E"/>
    <w:rsid w:val="00E93DC9"/>
    <w:rsid w:val="00E94290"/>
    <w:rsid w:val="00E9510E"/>
    <w:rsid w:val="00E95C7A"/>
    <w:rsid w:val="00E95D25"/>
    <w:rsid w:val="00E9606A"/>
    <w:rsid w:val="00E96965"/>
    <w:rsid w:val="00E96DDD"/>
    <w:rsid w:val="00E96E0A"/>
    <w:rsid w:val="00E96FBD"/>
    <w:rsid w:val="00E97059"/>
    <w:rsid w:val="00E9724F"/>
    <w:rsid w:val="00E97B51"/>
    <w:rsid w:val="00EA0047"/>
    <w:rsid w:val="00EA035F"/>
    <w:rsid w:val="00EA0654"/>
    <w:rsid w:val="00EA084A"/>
    <w:rsid w:val="00EA15F1"/>
    <w:rsid w:val="00EA15FE"/>
    <w:rsid w:val="00EA24E5"/>
    <w:rsid w:val="00EA259A"/>
    <w:rsid w:val="00EA288C"/>
    <w:rsid w:val="00EA28F0"/>
    <w:rsid w:val="00EA3431"/>
    <w:rsid w:val="00EA3662"/>
    <w:rsid w:val="00EA3C26"/>
    <w:rsid w:val="00EA3E37"/>
    <w:rsid w:val="00EA400F"/>
    <w:rsid w:val="00EA4367"/>
    <w:rsid w:val="00EA4A86"/>
    <w:rsid w:val="00EA5D48"/>
    <w:rsid w:val="00EA636A"/>
    <w:rsid w:val="00EA6515"/>
    <w:rsid w:val="00EA6759"/>
    <w:rsid w:val="00EA686E"/>
    <w:rsid w:val="00EA7305"/>
    <w:rsid w:val="00EA7583"/>
    <w:rsid w:val="00EA7690"/>
    <w:rsid w:val="00EA7D0D"/>
    <w:rsid w:val="00EA7EB9"/>
    <w:rsid w:val="00EB0794"/>
    <w:rsid w:val="00EB0D96"/>
    <w:rsid w:val="00EB1AF6"/>
    <w:rsid w:val="00EB269A"/>
    <w:rsid w:val="00EB27B6"/>
    <w:rsid w:val="00EB316D"/>
    <w:rsid w:val="00EB3A1E"/>
    <w:rsid w:val="00EB4B5B"/>
    <w:rsid w:val="00EB4B7A"/>
    <w:rsid w:val="00EB5162"/>
    <w:rsid w:val="00EB5259"/>
    <w:rsid w:val="00EB5531"/>
    <w:rsid w:val="00EB55D4"/>
    <w:rsid w:val="00EB5AF4"/>
    <w:rsid w:val="00EB5D6B"/>
    <w:rsid w:val="00EB65C7"/>
    <w:rsid w:val="00EB69A9"/>
    <w:rsid w:val="00EB6A91"/>
    <w:rsid w:val="00EB70F7"/>
    <w:rsid w:val="00EB7F4C"/>
    <w:rsid w:val="00EC0CE8"/>
    <w:rsid w:val="00EC1FBA"/>
    <w:rsid w:val="00EC1FE8"/>
    <w:rsid w:val="00EC29D5"/>
    <w:rsid w:val="00EC35A1"/>
    <w:rsid w:val="00EC36DC"/>
    <w:rsid w:val="00EC3D3C"/>
    <w:rsid w:val="00EC4201"/>
    <w:rsid w:val="00EC46ED"/>
    <w:rsid w:val="00EC49CC"/>
    <w:rsid w:val="00EC5138"/>
    <w:rsid w:val="00EC51C7"/>
    <w:rsid w:val="00EC58E0"/>
    <w:rsid w:val="00EC5E40"/>
    <w:rsid w:val="00EC5E86"/>
    <w:rsid w:val="00EC5EE5"/>
    <w:rsid w:val="00EC5F9A"/>
    <w:rsid w:val="00EC7B7B"/>
    <w:rsid w:val="00EC7C59"/>
    <w:rsid w:val="00EC7FB9"/>
    <w:rsid w:val="00ED06F3"/>
    <w:rsid w:val="00ED0B73"/>
    <w:rsid w:val="00ED122F"/>
    <w:rsid w:val="00ED1948"/>
    <w:rsid w:val="00ED2BD8"/>
    <w:rsid w:val="00ED3267"/>
    <w:rsid w:val="00ED3300"/>
    <w:rsid w:val="00ED42EE"/>
    <w:rsid w:val="00ED478F"/>
    <w:rsid w:val="00ED5D53"/>
    <w:rsid w:val="00ED6A7F"/>
    <w:rsid w:val="00ED700E"/>
    <w:rsid w:val="00ED70B8"/>
    <w:rsid w:val="00ED74FF"/>
    <w:rsid w:val="00ED7573"/>
    <w:rsid w:val="00ED76FB"/>
    <w:rsid w:val="00EE02D0"/>
    <w:rsid w:val="00EE0820"/>
    <w:rsid w:val="00EE09BA"/>
    <w:rsid w:val="00EE0CF9"/>
    <w:rsid w:val="00EE1304"/>
    <w:rsid w:val="00EE1616"/>
    <w:rsid w:val="00EE1860"/>
    <w:rsid w:val="00EE18FE"/>
    <w:rsid w:val="00EE2872"/>
    <w:rsid w:val="00EE2F7E"/>
    <w:rsid w:val="00EE2FDB"/>
    <w:rsid w:val="00EE30DC"/>
    <w:rsid w:val="00EE3BE4"/>
    <w:rsid w:val="00EE3EC8"/>
    <w:rsid w:val="00EE418E"/>
    <w:rsid w:val="00EE4746"/>
    <w:rsid w:val="00EE48C8"/>
    <w:rsid w:val="00EE51B8"/>
    <w:rsid w:val="00EE51F5"/>
    <w:rsid w:val="00EE5490"/>
    <w:rsid w:val="00EE57CE"/>
    <w:rsid w:val="00EE6224"/>
    <w:rsid w:val="00EE6840"/>
    <w:rsid w:val="00EE6938"/>
    <w:rsid w:val="00EE7B51"/>
    <w:rsid w:val="00EF0831"/>
    <w:rsid w:val="00EF0C20"/>
    <w:rsid w:val="00EF0EB5"/>
    <w:rsid w:val="00EF1075"/>
    <w:rsid w:val="00EF19CD"/>
    <w:rsid w:val="00EF246E"/>
    <w:rsid w:val="00EF2F44"/>
    <w:rsid w:val="00EF42D4"/>
    <w:rsid w:val="00EF486C"/>
    <w:rsid w:val="00EF4F48"/>
    <w:rsid w:val="00EF535B"/>
    <w:rsid w:val="00EF53B8"/>
    <w:rsid w:val="00EF5422"/>
    <w:rsid w:val="00EF6093"/>
    <w:rsid w:val="00EF67BA"/>
    <w:rsid w:val="00EF6BF9"/>
    <w:rsid w:val="00EF6CA3"/>
    <w:rsid w:val="00EF6F67"/>
    <w:rsid w:val="00EF72F6"/>
    <w:rsid w:val="00F003C1"/>
    <w:rsid w:val="00F0043C"/>
    <w:rsid w:val="00F00A1A"/>
    <w:rsid w:val="00F026BB"/>
    <w:rsid w:val="00F02805"/>
    <w:rsid w:val="00F02CB5"/>
    <w:rsid w:val="00F031A5"/>
    <w:rsid w:val="00F0372E"/>
    <w:rsid w:val="00F0386E"/>
    <w:rsid w:val="00F03906"/>
    <w:rsid w:val="00F03935"/>
    <w:rsid w:val="00F04775"/>
    <w:rsid w:val="00F05698"/>
    <w:rsid w:val="00F05CED"/>
    <w:rsid w:val="00F060FD"/>
    <w:rsid w:val="00F0640A"/>
    <w:rsid w:val="00F06599"/>
    <w:rsid w:val="00F06B22"/>
    <w:rsid w:val="00F07A2A"/>
    <w:rsid w:val="00F10158"/>
    <w:rsid w:val="00F10236"/>
    <w:rsid w:val="00F102D1"/>
    <w:rsid w:val="00F10C84"/>
    <w:rsid w:val="00F1292E"/>
    <w:rsid w:val="00F13381"/>
    <w:rsid w:val="00F13635"/>
    <w:rsid w:val="00F137C7"/>
    <w:rsid w:val="00F13F3D"/>
    <w:rsid w:val="00F14592"/>
    <w:rsid w:val="00F1618D"/>
    <w:rsid w:val="00F1648E"/>
    <w:rsid w:val="00F170D1"/>
    <w:rsid w:val="00F1721B"/>
    <w:rsid w:val="00F174AF"/>
    <w:rsid w:val="00F17EDB"/>
    <w:rsid w:val="00F20B3C"/>
    <w:rsid w:val="00F21731"/>
    <w:rsid w:val="00F221B5"/>
    <w:rsid w:val="00F226C1"/>
    <w:rsid w:val="00F23495"/>
    <w:rsid w:val="00F235CF"/>
    <w:rsid w:val="00F2388F"/>
    <w:rsid w:val="00F23BE5"/>
    <w:rsid w:val="00F23F45"/>
    <w:rsid w:val="00F246A6"/>
    <w:rsid w:val="00F24F37"/>
    <w:rsid w:val="00F2504B"/>
    <w:rsid w:val="00F26D68"/>
    <w:rsid w:val="00F2732A"/>
    <w:rsid w:val="00F2750C"/>
    <w:rsid w:val="00F277FC"/>
    <w:rsid w:val="00F30140"/>
    <w:rsid w:val="00F3087C"/>
    <w:rsid w:val="00F30DA0"/>
    <w:rsid w:val="00F3120B"/>
    <w:rsid w:val="00F31DEE"/>
    <w:rsid w:val="00F31E19"/>
    <w:rsid w:val="00F31E37"/>
    <w:rsid w:val="00F322B1"/>
    <w:rsid w:val="00F323B9"/>
    <w:rsid w:val="00F3246A"/>
    <w:rsid w:val="00F32863"/>
    <w:rsid w:val="00F33D13"/>
    <w:rsid w:val="00F34703"/>
    <w:rsid w:val="00F3476C"/>
    <w:rsid w:val="00F349B8"/>
    <w:rsid w:val="00F34EE2"/>
    <w:rsid w:val="00F35116"/>
    <w:rsid w:val="00F35367"/>
    <w:rsid w:val="00F35781"/>
    <w:rsid w:val="00F35851"/>
    <w:rsid w:val="00F35A92"/>
    <w:rsid w:val="00F3614A"/>
    <w:rsid w:val="00F3668D"/>
    <w:rsid w:val="00F368CA"/>
    <w:rsid w:val="00F36E25"/>
    <w:rsid w:val="00F373CC"/>
    <w:rsid w:val="00F378EC"/>
    <w:rsid w:val="00F37A09"/>
    <w:rsid w:val="00F40AC3"/>
    <w:rsid w:val="00F41203"/>
    <w:rsid w:val="00F41483"/>
    <w:rsid w:val="00F41A08"/>
    <w:rsid w:val="00F4231F"/>
    <w:rsid w:val="00F42A20"/>
    <w:rsid w:val="00F43CA3"/>
    <w:rsid w:val="00F43D37"/>
    <w:rsid w:val="00F43DFD"/>
    <w:rsid w:val="00F449D4"/>
    <w:rsid w:val="00F451E0"/>
    <w:rsid w:val="00F458A5"/>
    <w:rsid w:val="00F46227"/>
    <w:rsid w:val="00F46590"/>
    <w:rsid w:val="00F469BB"/>
    <w:rsid w:val="00F46E90"/>
    <w:rsid w:val="00F476A3"/>
    <w:rsid w:val="00F478AE"/>
    <w:rsid w:val="00F47CA4"/>
    <w:rsid w:val="00F47E24"/>
    <w:rsid w:val="00F5061E"/>
    <w:rsid w:val="00F5080A"/>
    <w:rsid w:val="00F50F88"/>
    <w:rsid w:val="00F510D6"/>
    <w:rsid w:val="00F518C5"/>
    <w:rsid w:val="00F520F9"/>
    <w:rsid w:val="00F522FB"/>
    <w:rsid w:val="00F528BB"/>
    <w:rsid w:val="00F52F91"/>
    <w:rsid w:val="00F5309B"/>
    <w:rsid w:val="00F5482F"/>
    <w:rsid w:val="00F5498A"/>
    <w:rsid w:val="00F54BE5"/>
    <w:rsid w:val="00F54D47"/>
    <w:rsid w:val="00F55864"/>
    <w:rsid w:val="00F56544"/>
    <w:rsid w:val="00F56F6E"/>
    <w:rsid w:val="00F579C9"/>
    <w:rsid w:val="00F60C2D"/>
    <w:rsid w:val="00F60F2A"/>
    <w:rsid w:val="00F612DF"/>
    <w:rsid w:val="00F6146C"/>
    <w:rsid w:val="00F61AED"/>
    <w:rsid w:val="00F61E75"/>
    <w:rsid w:val="00F61EA4"/>
    <w:rsid w:val="00F622E2"/>
    <w:rsid w:val="00F6274F"/>
    <w:rsid w:val="00F62895"/>
    <w:rsid w:val="00F6301F"/>
    <w:rsid w:val="00F63D26"/>
    <w:rsid w:val="00F641F4"/>
    <w:rsid w:val="00F64712"/>
    <w:rsid w:val="00F64A38"/>
    <w:rsid w:val="00F653B8"/>
    <w:rsid w:val="00F65551"/>
    <w:rsid w:val="00F65969"/>
    <w:rsid w:val="00F66321"/>
    <w:rsid w:val="00F666C0"/>
    <w:rsid w:val="00F66B8C"/>
    <w:rsid w:val="00F66BA0"/>
    <w:rsid w:val="00F67C2D"/>
    <w:rsid w:val="00F70112"/>
    <w:rsid w:val="00F70529"/>
    <w:rsid w:val="00F707C9"/>
    <w:rsid w:val="00F711BE"/>
    <w:rsid w:val="00F714CE"/>
    <w:rsid w:val="00F71B9F"/>
    <w:rsid w:val="00F71C2F"/>
    <w:rsid w:val="00F71DA9"/>
    <w:rsid w:val="00F72124"/>
    <w:rsid w:val="00F72703"/>
    <w:rsid w:val="00F73CD0"/>
    <w:rsid w:val="00F740D6"/>
    <w:rsid w:val="00F74211"/>
    <w:rsid w:val="00F74844"/>
    <w:rsid w:val="00F74D8B"/>
    <w:rsid w:val="00F7508D"/>
    <w:rsid w:val="00F75248"/>
    <w:rsid w:val="00F76CFB"/>
    <w:rsid w:val="00F77C2E"/>
    <w:rsid w:val="00F77F7D"/>
    <w:rsid w:val="00F802DF"/>
    <w:rsid w:val="00F80502"/>
    <w:rsid w:val="00F807A9"/>
    <w:rsid w:val="00F809E0"/>
    <w:rsid w:val="00F8147B"/>
    <w:rsid w:val="00F81D2B"/>
    <w:rsid w:val="00F82E0E"/>
    <w:rsid w:val="00F837C6"/>
    <w:rsid w:val="00F85074"/>
    <w:rsid w:val="00F85968"/>
    <w:rsid w:val="00F8671D"/>
    <w:rsid w:val="00F867B3"/>
    <w:rsid w:val="00F872F4"/>
    <w:rsid w:val="00F87558"/>
    <w:rsid w:val="00F87C55"/>
    <w:rsid w:val="00F9036B"/>
    <w:rsid w:val="00F904A1"/>
    <w:rsid w:val="00F90EF4"/>
    <w:rsid w:val="00F911C5"/>
    <w:rsid w:val="00F911D0"/>
    <w:rsid w:val="00F918C3"/>
    <w:rsid w:val="00F91F2B"/>
    <w:rsid w:val="00F92275"/>
    <w:rsid w:val="00F922E3"/>
    <w:rsid w:val="00F92506"/>
    <w:rsid w:val="00F92C66"/>
    <w:rsid w:val="00F92FC5"/>
    <w:rsid w:val="00F931D1"/>
    <w:rsid w:val="00F935B7"/>
    <w:rsid w:val="00F9372A"/>
    <w:rsid w:val="00F93E0B"/>
    <w:rsid w:val="00F93E1D"/>
    <w:rsid w:val="00F945DC"/>
    <w:rsid w:val="00F94A0F"/>
    <w:rsid w:val="00F94ACE"/>
    <w:rsid w:val="00F950C7"/>
    <w:rsid w:val="00F952AF"/>
    <w:rsid w:val="00F953B8"/>
    <w:rsid w:val="00F9556B"/>
    <w:rsid w:val="00F95AFB"/>
    <w:rsid w:val="00F95DD3"/>
    <w:rsid w:val="00F9635C"/>
    <w:rsid w:val="00F96894"/>
    <w:rsid w:val="00F96EBC"/>
    <w:rsid w:val="00F970AC"/>
    <w:rsid w:val="00FA065A"/>
    <w:rsid w:val="00FA0788"/>
    <w:rsid w:val="00FA12D2"/>
    <w:rsid w:val="00FA2074"/>
    <w:rsid w:val="00FA3193"/>
    <w:rsid w:val="00FA4BDE"/>
    <w:rsid w:val="00FA5DE2"/>
    <w:rsid w:val="00FA5F8F"/>
    <w:rsid w:val="00FA602C"/>
    <w:rsid w:val="00FA723A"/>
    <w:rsid w:val="00FA73BE"/>
    <w:rsid w:val="00FB0118"/>
    <w:rsid w:val="00FB04E2"/>
    <w:rsid w:val="00FB072D"/>
    <w:rsid w:val="00FB099C"/>
    <w:rsid w:val="00FB1596"/>
    <w:rsid w:val="00FB1C14"/>
    <w:rsid w:val="00FB276A"/>
    <w:rsid w:val="00FB29EE"/>
    <w:rsid w:val="00FB2D16"/>
    <w:rsid w:val="00FB34CE"/>
    <w:rsid w:val="00FB3961"/>
    <w:rsid w:val="00FB3967"/>
    <w:rsid w:val="00FB3A13"/>
    <w:rsid w:val="00FB4797"/>
    <w:rsid w:val="00FB4955"/>
    <w:rsid w:val="00FB505B"/>
    <w:rsid w:val="00FB551D"/>
    <w:rsid w:val="00FB5DC2"/>
    <w:rsid w:val="00FB7528"/>
    <w:rsid w:val="00FB7840"/>
    <w:rsid w:val="00FC0B65"/>
    <w:rsid w:val="00FC0BAD"/>
    <w:rsid w:val="00FC1075"/>
    <w:rsid w:val="00FC139A"/>
    <w:rsid w:val="00FC2048"/>
    <w:rsid w:val="00FC2193"/>
    <w:rsid w:val="00FC43A4"/>
    <w:rsid w:val="00FC45A1"/>
    <w:rsid w:val="00FC4659"/>
    <w:rsid w:val="00FC47B7"/>
    <w:rsid w:val="00FC4C01"/>
    <w:rsid w:val="00FC5E22"/>
    <w:rsid w:val="00FC6575"/>
    <w:rsid w:val="00FC6E5C"/>
    <w:rsid w:val="00FC78BC"/>
    <w:rsid w:val="00FC7B3E"/>
    <w:rsid w:val="00FD0099"/>
    <w:rsid w:val="00FD04D9"/>
    <w:rsid w:val="00FD1071"/>
    <w:rsid w:val="00FD1481"/>
    <w:rsid w:val="00FD1997"/>
    <w:rsid w:val="00FD1C78"/>
    <w:rsid w:val="00FD2179"/>
    <w:rsid w:val="00FD39F4"/>
    <w:rsid w:val="00FD3B2B"/>
    <w:rsid w:val="00FD3D84"/>
    <w:rsid w:val="00FD44D8"/>
    <w:rsid w:val="00FD5101"/>
    <w:rsid w:val="00FD5A41"/>
    <w:rsid w:val="00FD5D69"/>
    <w:rsid w:val="00FD5E72"/>
    <w:rsid w:val="00FD6417"/>
    <w:rsid w:val="00FD690E"/>
    <w:rsid w:val="00FD73B4"/>
    <w:rsid w:val="00FD7C67"/>
    <w:rsid w:val="00FE03BA"/>
    <w:rsid w:val="00FE045A"/>
    <w:rsid w:val="00FE079E"/>
    <w:rsid w:val="00FE0CAA"/>
    <w:rsid w:val="00FE1C57"/>
    <w:rsid w:val="00FE1CEC"/>
    <w:rsid w:val="00FE1D45"/>
    <w:rsid w:val="00FE291F"/>
    <w:rsid w:val="00FE2A21"/>
    <w:rsid w:val="00FE2C99"/>
    <w:rsid w:val="00FE2ECD"/>
    <w:rsid w:val="00FE3256"/>
    <w:rsid w:val="00FE361D"/>
    <w:rsid w:val="00FE37CE"/>
    <w:rsid w:val="00FE3B73"/>
    <w:rsid w:val="00FE42CB"/>
    <w:rsid w:val="00FE47A3"/>
    <w:rsid w:val="00FE4B99"/>
    <w:rsid w:val="00FE4CFA"/>
    <w:rsid w:val="00FE4DE3"/>
    <w:rsid w:val="00FE503B"/>
    <w:rsid w:val="00FE5672"/>
    <w:rsid w:val="00FE5DD6"/>
    <w:rsid w:val="00FE7600"/>
    <w:rsid w:val="00FE7C51"/>
    <w:rsid w:val="00FF0616"/>
    <w:rsid w:val="00FF0A7B"/>
    <w:rsid w:val="00FF1CE6"/>
    <w:rsid w:val="00FF1E57"/>
    <w:rsid w:val="00FF235B"/>
    <w:rsid w:val="00FF27D1"/>
    <w:rsid w:val="00FF2B6A"/>
    <w:rsid w:val="00FF326F"/>
    <w:rsid w:val="00FF3451"/>
    <w:rsid w:val="00FF3B9D"/>
    <w:rsid w:val="00FF46E1"/>
    <w:rsid w:val="00FF5D50"/>
    <w:rsid w:val="00FF5F10"/>
    <w:rsid w:val="00FF665A"/>
    <w:rsid w:val="00FF73DF"/>
    <w:rsid w:val="00FF7433"/>
    <w:rsid w:val="00FF7992"/>
    <w:rsid w:val="00FF7D6F"/>
    <w:rsid w:val="01020162"/>
    <w:rsid w:val="0185E5E0"/>
    <w:rsid w:val="01CF68A6"/>
    <w:rsid w:val="01E0397B"/>
    <w:rsid w:val="02053FEC"/>
    <w:rsid w:val="021A2912"/>
    <w:rsid w:val="026FD144"/>
    <w:rsid w:val="0279B7B8"/>
    <w:rsid w:val="028A636E"/>
    <w:rsid w:val="031C5E09"/>
    <w:rsid w:val="0353C24C"/>
    <w:rsid w:val="03677CF0"/>
    <w:rsid w:val="03BA3D78"/>
    <w:rsid w:val="0415FADA"/>
    <w:rsid w:val="0482B9FC"/>
    <w:rsid w:val="04E79414"/>
    <w:rsid w:val="04F67B1F"/>
    <w:rsid w:val="04FB40A3"/>
    <w:rsid w:val="0517C873"/>
    <w:rsid w:val="0573B799"/>
    <w:rsid w:val="05769993"/>
    <w:rsid w:val="058F0039"/>
    <w:rsid w:val="060BC804"/>
    <w:rsid w:val="066FFD32"/>
    <w:rsid w:val="067F8FA4"/>
    <w:rsid w:val="068CC584"/>
    <w:rsid w:val="06B3F95F"/>
    <w:rsid w:val="06C8780A"/>
    <w:rsid w:val="06F20642"/>
    <w:rsid w:val="07034119"/>
    <w:rsid w:val="07FC762C"/>
    <w:rsid w:val="07FC9812"/>
    <w:rsid w:val="0879B4D8"/>
    <w:rsid w:val="089C2F51"/>
    <w:rsid w:val="092C1FCF"/>
    <w:rsid w:val="0951BD40"/>
    <w:rsid w:val="09FE02ED"/>
    <w:rsid w:val="0A26169C"/>
    <w:rsid w:val="0A74874F"/>
    <w:rsid w:val="0BD559DE"/>
    <w:rsid w:val="0BD851EC"/>
    <w:rsid w:val="0C0A514A"/>
    <w:rsid w:val="0D121146"/>
    <w:rsid w:val="0D5BD4D2"/>
    <w:rsid w:val="0E02C98A"/>
    <w:rsid w:val="0ED37143"/>
    <w:rsid w:val="0F59C8A2"/>
    <w:rsid w:val="0F91CB8B"/>
    <w:rsid w:val="1054A89B"/>
    <w:rsid w:val="1057C708"/>
    <w:rsid w:val="105D5584"/>
    <w:rsid w:val="108D7886"/>
    <w:rsid w:val="10A115BF"/>
    <w:rsid w:val="116EC11E"/>
    <w:rsid w:val="1177638A"/>
    <w:rsid w:val="11E04CAB"/>
    <w:rsid w:val="11FA050A"/>
    <w:rsid w:val="12112A60"/>
    <w:rsid w:val="121FDF4F"/>
    <w:rsid w:val="1232CA7C"/>
    <w:rsid w:val="124E6B0D"/>
    <w:rsid w:val="12876E43"/>
    <w:rsid w:val="13B73ABC"/>
    <w:rsid w:val="13E9B1A7"/>
    <w:rsid w:val="142E6E6A"/>
    <w:rsid w:val="149398AF"/>
    <w:rsid w:val="14942770"/>
    <w:rsid w:val="15178F41"/>
    <w:rsid w:val="1528E6DA"/>
    <w:rsid w:val="152E974A"/>
    <w:rsid w:val="156A69F4"/>
    <w:rsid w:val="1585DE54"/>
    <w:rsid w:val="15C73443"/>
    <w:rsid w:val="167A72A9"/>
    <w:rsid w:val="16CCFB5B"/>
    <w:rsid w:val="17163606"/>
    <w:rsid w:val="1733F23E"/>
    <w:rsid w:val="176548DE"/>
    <w:rsid w:val="17C4A8DC"/>
    <w:rsid w:val="17F06C49"/>
    <w:rsid w:val="17F23FA7"/>
    <w:rsid w:val="17FA03C0"/>
    <w:rsid w:val="1888AA93"/>
    <w:rsid w:val="18CC2B37"/>
    <w:rsid w:val="19263D2D"/>
    <w:rsid w:val="194E831E"/>
    <w:rsid w:val="199B227D"/>
    <w:rsid w:val="19F45452"/>
    <w:rsid w:val="1A3CDCE8"/>
    <w:rsid w:val="1A91BBC1"/>
    <w:rsid w:val="1A945B84"/>
    <w:rsid w:val="1AB10FB6"/>
    <w:rsid w:val="1ABBC5AD"/>
    <w:rsid w:val="1AD79984"/>
    <w:rsid w:val="1B1FCE37"/>
    <w:rsid w:val="1B93F704"/>
    <w:rsid w:val="1BA307BC"/>
    <w:rsid w:val="1BC6ECF6"/>
    <w:rsid w:val="1BD6E6EA"/>
    <w:rsid w:val="1BFF9348"/>
    <w:rsid w:val="1C2959BE"/>
    <w:rsid w:val="1C5A3B28"/>
    <w:rsid w:val="1C77D078"/>
    <w:rsid w:val="1D3E833D"/>
    <w:rsid w:val="1E8B0D20"/>
    <w:rsid w:val="1F119AA1"/>
    <w:rsid w:val="1FB2F82D"/>
    <w:rsid w:val="1FC43304"/>
    <w:rsid w:val="20A10D68"/>
    <w:rsid w:val="20FDB971"/>
    <w:rsid w:val="21082244"/>
    <w:rsid w:val="2132E440"/>
    <w:rsid w:val="2165BB13"/>
    <w:rsid w:val="219F64BC"/>
    <w:rsid w:val="22019DEB"/>
    <w:rsid w:val="2242C81F"/>
    <w:rsid w:val="2264952D"/>
    <w:rsid w:val="22DDF0BF"/>
    <w:rsid w:val="234458EF"/>
    <w:rsid w:val="23907A6E"/>
    <w:rsid w:val="23995D98"/>
    <w:rsid w:val="23A7099A"/>
    <w:rsid w:val="23D9462E"/>
    <w:rsid w:val="23E6FA39"/>
    <w:rsid w:val="23ED1DDC"/>
    <w:rsid w:val="23EFF405"/>
    <w:rsid w:val="242121CA"/>
    <w:rsid w:val="2462C9B1"/>
    <w:rsid w:val="247BB2E3"/>
    <w:rsid w:val="248524FD"/>
    <w:rsid w:val="248D82DD"/>
    <w:rsid w:val="24E80183"/>
    <w:rsid w:val="250B092D"/>
    <w:rsid w:val="2520D26F"/>
    <w:rsid w:val="25DE9C2D"/>
    <w:rsid w:val="26A9949A"/>
    <w:rsid w:val="2760A70E"/>
    <w:rsid w:val="27A846D2"/>
    <w:rsid w:val="27CBF9D6"/>
    <w:rsid w:val="284F3350"/>
    <w:rsid w:val="286650A2"/>
    <w:rsid w:val="28A146CB"/>
    <w:rsid w:val="2A2B8F27"/>
    <w:rsid w:val="2AA9CDB7"/>
    <w:rsid w:val="2ABE64C3"/>
    <w:rsid w:val="2B0D6C9D"/>
    <w:rsid w:val="2B746678"/>
    <w:rsid w:val="2C2E7906"/>
    <w:rsid w:val="2CC31DCF"/>
    <w:rsid w:val="2CFC6C71"/>
    <w:rsid w:val="2D01B02C"/>
    <w:rsid w:val="2D04E5B7"/>
    <w:rsid w:val="2D0BEC4E"/>
    <w:rsid w:val="2D44A094"/>
    <w:rsid w:val="2D98345C"/>
    <w:rsid w:val="2DAAEC38"/>
    <w:rsid w:val="2E2BB71F"/>
    <w:rsid w:val="2EED4B16"/>
    <w:rsid w:val="2FA2A685"/>
    <w:rsid w:val="2FA31ADA"/>
    <w:rsid w:val="2FDABACE"/>
    <w:rsid w:val="307E28B4"/>
    <w:rsid w:val="30B14980"/>
    <w:rsid w:val="30BFD023"/>
    <w:rsid w:val="30D89A3A"/>
    <w:rsid w:val="30FFA2C8"/>
    <w:rsid w:val="31274321"/>
    <w:rsid w:val="31517FF7"/>
    <w:rsid w:val="319DB6DA"/>
    <w:rsid w:val="31AB1D55"/>
    <w:rsid w:val="3284D0DB"/>
    <w:rsid w:val="32AB329E"/>
    <w:rsid w:val="33A5D4AF"/>
    <w:rsid w:val="33A6BEA2"/>
    <w:rsid w:val="33D9E0BC"/>
    <w:rsid w:val="33F1EC2A"/>
    <w:rsid w:val="33F99669"/>
    <w:rsid w:val="351AE417"/>
    <w:rsid w:val="352988B2"/>
    <w:rsid w:val="352DED12"/>
    <w:rsid w:val="355CA940"/>
    <w:rsid w:val="359CFD8F"/>
    <w:rsid w:val="3638234F"/>
    <w:rsid w:val="36DFF651"/>
    <w:rsid w:val="3711C220"/>
    <w:rsid w:val="373ED829"/>
    <w:rsid w:val="37A242C4"/>
    <w:rsid w:val="37C398E2"/>
    <w:rsid w:val="37CF33BD"/>
    <w:rsid w:val="3808090E"/>
    <w:rsid w:val="38643A82"/>
    <w:rsid w:val="38756029"/>
    <w:rsid w:val="3897E904"/>
    <w:rsid w:val="38F7038D"/>
    <w:rsid w:val="393E9436"/>
    <w:rsid w:val="3992C368"/>
    <w:rsid w:val="3996A65A"/>
    <w:rsid w:val="399A9DDF"/>
    <w:rsid w:val="39EC64B0"/>
    <w:rsid w:val="3A0082FE"/>
    <w:rsid w:val="3A12C421"/>
    <w:rsid w:val="3A4F08F2"/>
    <w:rsid w:val="3A6FDD7C"/>
    <w:rsid w:val="3A8F7582"/>
    <w:rsid w:val="3AAA08B1"/>
    <w:rsid w:val="3AE7CAB2"/>
    <w:rsid w:val="3B04C0AC"/>
    <w:rsid w:val="3B49B79B"/>
    <w:rsid w:val="3BB9C5BD"/>
    <w:rsid w:val="3BEA5350"/>
    <w:rsid w:val="3BEFF409"/>
    <w:rsid w:val="3C307B78"/>
    <w:rsid w:val="3C53EE6B"/>
    <w:rsid w:val="3C680214"/>
    <w:rsid w:val="3C69B021"/>
    <w:rsid w:val="3C863DDD"/>
    <w:rsid w:val="3C9B8574"/>
    <w:rsid w:val="3CC360CA"/>
    <w:rsid w:val="3D09984B"/>
    <w:rsid w:val="3D407487"/>
    <w:rsid w:val="3D537B7B"/>
    <w:rsid w:val="3D928F0D"/>
    <w:rsid w:val="3DA7D04A"/>
    <w:rsid w:val="3DB753A2"/>
    <w:rsid w:val="3DE5ECE7"/>
    <w:rsid w:val="3E414A8A"/>
    <w:rsid w:val="3E9D5153"/>
    <w:rsid w:val="3EC7274F"/>
    <w:rsid w:val="3F57287E"/>
    <w:rsid w:val="3FD67D63"/>
    <w:rsid w:val="3FFAE057"/>
    <w:rsid w:val="40060063"/>
    <w:rsid w:val="401BDD28"/>
    <w:rsid w:val="40739A84"/>
    <w:rsid w:val="4093855D"/>
    <w:rsid w:val="40ABA6E1"/>
    <w:rsid w:val="40B31466"/>
    <w:rsid w:val="40C31FE7"/>
    <w:rsid w:val="40CEDF88"/>
    <w:rsid w:val="4101321C"/>
    <w:rsid w:val="41034409"/>
    <w:rsid w:val="4146B3E8"/>
    <w:rsid w:val="421F55E3"/>
    <w:rsid w:val="42315A2E"/>
    <w:rsid w:val="427A25EB"/>
    <w:rsid w:val="427D8E69"/>
    <w:rsid w:val="42C29FA0"/>
    <w:rsid w:val="431175B5"/>
    <w:rsid w:val="435828FF"/>
    <w:rsid w:val="43856715"/>
    <w:rsid w:val="43A43FFD"/>
    <w:rsid w:val="445B7ADF"/>
    <w:rsid w:val="447FF686"/>
    <w:rsid w:val="44A87031"/>
    <w:rsid w:val="44CAA2F9"/>
    <w:rsid w:val="44DFF1B2"/>
    <w:rsid w:val="44ECDB3B"/>
    <w:rsid w:val="45117E96"/>
    <w:rsid w:val="4534722C"/>
    <w:rsid w:val="45376444"/>
    <w:rsid w:val="454383DC"/>
    <w:rsid w:val="457FB78A"/>
    <w:rsid w:val="458BA3BC"/>
    <w:rsid w:val="45D7FA53"/>
    <w:rsid w:val="46232425"/>
    <w:rsid w:val="46698727"/>
    <w:rsid w:val="47859334"/>
    <w:rsid w:val="48AEA70E"/>
    <w:rsid w:val="48E9FC53"/>
    <w:rsid w:val="492801EC"/>
    <w:rsid w:val="492C0AA8"/>
    <w:rsid w:val="4957A4D5"/>
    <w:rsid w:val="4A3A3230"/>
    <w:rsid w:val="4A4A2F08"/>
    <w:rsid w:val="4A6052F9"/>
    <w:rsid w:val="4AB390D2"/>
    <w:rsid w:val="4ABBD4B9"/>
    <w:rsid w:val="4ADB03C1"/>
    <w:rsid w:val="4AE590AA"/>
    <w:rsid w:val="4B20F8E4"/>
    <w:rsid w:val="4B5A5657"/>
    <w:rsid w:val="4C16AA3A"/>
    <w:rsid w:val="4C45F41B"/>
    <w:rsid w:val="4C7F5EE0"/>
    <w:rsid w:val="4C91860C"/>
    <w:rsid w:val="4C927F26"/>
    <w:rsid w:val="4C9BA02C"/>
    <w:rsid w:val="4CF7AA5F"/>
    <w:rsid w:val="4D3B035F"/>
    <w:rsid w:val="4D3F5F04"/>
    <w:rsid w:val="4D436FD4"/>
    <w:rsid w:val="4DC1CABA"/>
    <w:rsid w:val="4DFBF071"/>
    <w:rsid w:val="4E2138ED"/>
    <w:rsid w:val="4E2E32F7"/>
    <w:rsid w:val="4E889C19"/>
    <w:rsid w:val="4EF41179"/>
    <w:rsid w:val="4F242318"/>
    <w:rsid w:val="4FB1522B"/>
    <w:rsid w:val="4FBC6C6D"/>
    <w:rsid w:val="5103B959"/>
    <w:rsid w:val="510A8D84"/>
    <w:rsid w:val="5158F998"/>
    <w:rsid w:val="517D4BD9"/>
    <w:rsid w:val="5193B3A9"/>
    <w:rsid w:val="51970BD1"/>
    <w:rsid w:val="51EAF744"/>
    <w:rsid w:val="5255A5E6"/>
    <w:rsid w:val="533559B7"/>
    <w:rsid w:val="5354E7FE"/>
    <w:rsid w:val="53633F4E"/>
    <w:rsid w:val="53679FCC"/>
    <w:rsid w:val="5381FA8A"/>
    <w:rsid w:val="53A89535"/>
    <w:rsid w:val="53B3D2DB"/>
    <w:rsid w:val="53C199AF"/>
    <w:rsid w:val="53E04652"/>
    <w:rsid w:val="5491B1EF"/>
    <w:rsid w:val="549E3F83"/>
    <w:rsid w:val="54C5CD0A"/>
    <w:rsid w:val="557D307C"/>
    <w:rsid w:val="55B1C38C"/>
    <w:rsid w:val="55E63B24"/>
    <w:rsid w:val="56005845"/>
    <w:rsid w:val="56A7D4EA"/>
    <w:rsid w:val="56F61C1C"/>
    <w:rsid w:val="57048482"/>
    <w:rsid w:val="576ED2DF"/>
    <w:rsid w:val="5821792C"/>
    <w:rsid w:val="584B8BB5"/>
    <w:rsid w:val="5876DC58"/>
    <w:rsid w:val="58A2719C"/>
    <w:rsid w:val="58A82174"/>
    <w:rsid w:val="59763C01"/>
    <w:rsid w:val="59A20FD3"/>
    <w:rsid w:val="59EF75E7"/>
    <w:rsid w:val="59F7B3DA"/>
    <w:rsid w:val="5A648D00"/>
    <w:rsid w:val="5AE9CCCD"/>
    <w:rsid w:val="5BA40368"/>
    <w:rsid w:val="5BE47CFB"/>
    <w:rsid w:val="5C252447"/>
    <w:rsid w:val="5C2AE596"/>
    <w:rsid w:val="5C325D8F"/>
    <w:rsid w:val="5C93617E"/>
    <w:rsid w:val="5CED937A"/>
    <w:rsid w:val="5D0617A7"/>
    <w:rsid w:val="5D0FCBDD"/>
    <w:rsid w:val="5D2E7F77"/>
    <w:rsid w:val="5D72410E"/>
    <w:rsid w:val="5D90DB80"/>
    <w:rsid w:val="5DBDA7FE"/>
    <w:rsid w:val="5E0E53AC"/>
    <w:rsid w:val="5E56BA0D"/>
    <w:rsid w:val="5E8B607B"/>
    <w:rsid w:val="5F1946CD"/>
    <w:rsid w:val="5F1DD3B6"/>
    <w:rsid w:val="5F5F1082"/>
    <w:rsid w:val="5FADB025"/>
    <w:rsid w:val="5FCC5885"/>
    <w:rsid w:val="600907D2"/>
    <w:rsid w:val="6020920C"/>
    <w:rsid w:val="604B9FF3"/>
    <w:rsid w:val="61115C32"/>
    <w:rsid w:val="6137FFC5"/>
    <w:rsid w:val="61FCE0D8"/>
    <w:rsid w:val="622EFCEB"/>
    <w:rsid w:val="623FEC10"/>
    <w:rsid w:val="62A19F13"/>
    <w:rsid w:val="631F0881"/>
    <w:rsid w:val="63C253E2"/>
    <w:rsid w:val="63C8BF70"/>
    <w:rsid w:val="642E6E73"/>
    <w:rsid w:val="644581D7"/>
    <w:rsid w:val="646A5F96"/>
    <w:rsid w:val="648C0DDC"/>
    <w:rsid w:val="64A47616"/>
    <w:rsid w:val="64B6B42E"/>
    <w:rsid w:val="64C84864"/>
    <w:rsid w:val="64CC8529"/>
    <w:rsid w:val="6502EFCA"/>
    <w:rsid w:val="6548A59A"/>
    <w:rsid w:val="65D471DB"/>
    <w:rsid w:val="65F90D56"/>
    <w:rsid w:val="660A6CED"/>
    <w:rsid w:val="66769B4C"/>
    <w:rsid w:val="66812228"/>
    <w:rsid w:val="66A5A503"/>
    <w:rsid w:val="6701C4E9"/>
    <w:rsid w:val="6741E003"/>
    <w:rsid w:val="6771FE7A"/>
    <w:rsid w:val="67B5AFB8"/>
    <w:rsid w:val="67BB5C58"/>
    <w:rsid w:val="67E3F7B1"/>
    <w:rsid w:val="67E921B2"/>
    <w:rsid w:val="682CE261"/>
    <w:rsid w:val="68383FDE"/>
    <w:rsid w:val="68C2F7F8"/>
    <w:rsid w:val="6A53A037"/>
    <w:rsid w:val="6AC2FD67"/>
    <w:rsid w:val="6ADEFF23"/>
    <w:rsid w:val="6AF11D59"/>
    <w:rsid w:val="6B45B385"/>
    <w:rsid w:val="6BB03494"/>
    <w:rsid w:val="6C0BF0FD"/>
    <w:rsid w:val="6C25C210"/>
    <w:rsid w:val="6C4C83E3"/>
    <w:rsid w:val="6C6ED3BC"/>
    <w:rsid w:val="6CA5CAC9"/>
    <w:rsid w:val="6CBF05EF"/>
    <w:rsid w:val="6D0C8E7E"/>
    <w:rsid w:val="6E02C997"/>
    <w:rsid w:val="6E418CEA"/>
    <w:rsid w:val="6F16C2C0"/>
    <w:rsid w:val="7015DE4B"/>
    <w:rsid w:val="70243E12"/>
    <w:rsid w:val="70F0D0C1"/>
    <w:rsid w:val="7117CE34"/>
    <w:rsid w:val="711A2C9B"/>
    <w:rsid w:val="71546ECF"/>
    <w:rsid w:val="71DBB2A1"/>
    <w:rsid w:val="72026259"/>
    <w:rsid w:val="722C8E9D"/>
    <w:rsid w:val="72344ACD"/>
    <w:rsid w:val="72B75755"/>
    <w:rsid w:val="72FC572E"/>
    <w:rsid w:val="736CF500"/>
    <w:rsid w:val="73DF69AA"/>
    <w:rsid w:val="74817C20"/>
    <w:rsid w:val="7491F2D5"/>
    <w:rsid w:val="749BC327"/>
    <w:rsid w:val="74A5BD12"/>
    <w:rsid w:val="75004E0A"/>
    <w:rsid w:val="7547F9A4"/>
    <w:rsid w:val="7557E127"/>
    <w:rsid w:val="758BA703"/>
    <w:rsid w:val="75DAAB28"/>
    <w:rsid w:val="761F459B"/>
    <w:rsid w:val="7645E764"/>
    <w:rsid w:val="76A407EE"/>
    <w:rsid w:val="76F40C01"/>
    <w:rsid w:val="77485E31"/>
    <w:rsid w:val="778CD98A"/>
    <w:rsid w:val="77E19823"/>
    <w:rsid w:val="77E4CA5D"/>
    <w:rsid w:val="77F46586"/>
    <w:rsid w:val="77F5AB25"/>
    <w:rsid w:val="78AE14F6"/>
    <w:rsid w:val="78EAA288"/>
    <w:rsid w:val="7966AF8E"/>
    <w:rsid w:val="7995D8FF"/>
    <w:rsid w:val="79BACC70"/>
    <w:rsid w:val="79EC3FDA"/>
    <w:rsid w:val="7A270F98"/>
    <w:rsid w:val="7A53D463"/>
    <w:rsid w:val="7A723DDC"/>
    <w:rsid w:val="7A944E41"/>
    <w:rsid w:val="7A947165"/>
    <w:rsid w:val="7AFCB9A0"/>
    <w:rsid w:val="7AFE87FD"/>
    <w:rsid w:val="7B40058C"/>
    <w:rsid w:val="7B7F399D"/>
    <w:rsid w:val="7BB81FB9"/>
    <w:rsid w:val="7BE956B3"/>
    <w:rsid w:val="7BFEF240"/>
    <w:rsid w:val="7C05E4FB"/>
    <w:rsid w:val="7C08E4B1"/>
    <w:rsid w:val="7C149528"/>
    <w:rsid w:val="7C583714"/>
    <w:rsid w:val="7CD06583"/>
    <w:rsid w:val="7CD2A338"/>
    <w:rsid w:val="7D347B50"/>
    <w:rsid w:val="7D4889B9"/>
    <w:rsid w:val="7D77B57B"/>
    <w:rsid w:val="7D8898E5"/>
    <w:rsid w:val="7DEC5648"/>
    <w:rsid w:val="7E6B3D97"/>
    <w:rsid w:val="7E7192E4"/>
    <w:rsid w:val="7EA3683F"/>
    <w:rsid w:val="7EB8BC1D"/>
    <w:rsid w:val="7EEBCCDB"/>
    <w:rsid w:val="7EF2D47D"/>
    <w:rsid w:val="7F69427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6C45113"/>
  <w15:chartTrackingRefBased/>
  <w15:docId w15:val="{371EA6EF-A526-4CFC-92AC-345144E4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06FBB"/>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ParaNum"/>
    <w:qFormat/>
    <w:rsid w:val="00E32D77"/>
    <w:pPr>
      <w:keepNext/>
      <w:numPr>
        <w:numId w:val="3"/>
      </w:numPr>
      <w:tabs>
        <w:tab w:val="left" w:pos="720"/>
      </w:tabs>
      <w:suppressAutoHyphens/>
      <w:spacing w:after="120"/>
      <w:outlineLvl w:val="0"/>
    </w:pPr>
    <w:rPr>
      <w:rFonts w:ascii="Times New Roman Bold" w:hAnsi="Times New Roman Bold"/>
      <w:b/>
      <w:caps/>
    </w:rPr>
  </w:style>
  <w:style w:type="paragraph" w:styleId="Heading2">
    <w:name w:val="heading 2"/>
    <w:basedOn w:val="Normal"/>
    <w:next w:val="ParaNum"/>
    <w:autoRedefine/>
    <w:qFormat/>
    <w:rsid w:val="00E32D77"/>
    <w:pPr>
      <w:keepNext/>
      <w:numPr>
        <w:ilvl w:val="1"/>
        <w:numId w:val="3"/>
      </w:numPr>
      <w:spacing w:after="120"/>
      <w:outlineLvl w:val="1"/>
    </w:pPr>
    <w:rPr>
      <w:b/>
    </w:rPr>
  </w:style>
  <w:style w:type="paragraph" w:styleId="Heading3">
    <w:name w:val="heading 3"/>
    <w:basedOn w:val="Normal"/>
    <w:next w:val="ParaNum"/>
    <w:qFormat/>
    <w:rsid w:val="00E32D77"/>
    <w:pPr>
      <w:keepNext/>
      <w:numPr>
        <w:ilvl w:val="2"/>
        <w:numId w:val="3"/>
      </w:numPr>
      <w:tabs>
        <w:tab w:val="left" w:pos="2160"/>
      </w:tabs>
      <w:spacing w:after="120"/>
      <w:outlineLvl w:val="2"/>
    </w:pPr>
    <w:rPr>
      <w:b/>
    </w:rPr>
  </w:style>
  <w:style w:type="paragraph" w:styleId="Heading4">
    <w:name w:val="heading 4"/>
    <w:basedOn w:val="Normal"/>
    <w:next w:val="ParaNum"/>
    <w:qFormat/>
    <w:rsid w:val="00E32D77"/>
    <w:pPr>
      <w:keepNext/>
      <w:numPr>
        <w:ilvl w:val="3"/>
        <w:numId w:val="3"/>
      </w:numPr>
      <w:tabs>
        <w:tab w:val="left" w:pos="2880"/>
      </w:tabs>
      <w:spacing w:after="120"/>
      <w:outlineLvl w:val="3"/>
    </w:pPr>
    <w:rPr>
      <w:b/>
    </w:rPr>
  </w:style>
  <w:style w:type="paragraph" w:styleId="Heading5">
    <w:name w:val="heading 5"/>
    <w:basedOn w:val="Normal"/>
    <w:next w:val="ParaNum"/>
    <w:qFormat/>
    <w:rsid w:val="00E32D77"/>
    <w:pPr>
      <w:keepNext/>
      <w:numPr>
        <w:ilvl w:val="4"/>
        <w:numId w:val="3"/>
      </w:numPr>
      <w:tabs>
        <w:tab w:val="left" w:pos="3600"/>
      </w:tabs>
      <w:suppressAutoHyphens/>
      <w:spacing w:after="120"/>
      <w:outlineLvl w:val="4"/>
    </w:pPr>
    <w:rPr>
      <w:b/>
    </w:rPr>
  </w:style>
  <w:style w:type="paragraph" w:styleId="Heading6">
    <w:name w:val="heading 6"/>
    <w:basedOn w:val="Normal"/>
    <w:next w:val="ParaNum"/>
    <w:qFormat/>
    <w:rsid w:val="00E32D77"/>
    <w:pPr>
      <w:numPr>
        <w:ilvl w:val="5"/>
        <w:numId w:val="3"/>
      </w:numPr>
      <w:tabs>
        <w:tab w:val="left" w:pos="4320"/>
      </w:tabs>
      <w:spacing w:after="120"/>
      <w:outlineLvl w:val="5"/>
    </w:pPr>
    <w:rPr>
      <w:b/>
    </w:rPr>
  </w:style>
  <w:style w:type="paragraph" w:styleId="Heading7">
    <w:name w:val="heading 7"/>
    <w:basedOn w:val="Normal"/>
    <w:next w:val="ParaNum"/>
    <w:qFormat/>
    <w:rsid w:val="00E32D77"/>
    <w:pPr>
      <w:numPr>
        <w:ilvl w:val="6"/>
        <w:numId w:val="3"/>
      </w:numPr>
      <w:tabs>
        <w:tab w:val="left" w:pos="5040"/>
      </w:tabs>
      <w:spacing w:after="120"/>
      <w:ind w:left="5040" w:hanging="720"/>
      <w:outlineLvl w:val="6"/>
    </w:pPr>
    <w:rPr>
      <w:b/>
    </w:rPr>
  </w:style>
  <w:style w:type="paragraph" w:styleId="Heading8">
    <w:name w:val="heading 8"/>
    <w:basedOn w:val="Normal"/>
    <w:next w:val="ParaNum"/>
    <w:qFormat/>
    <w:rsid w:val="00E32D77"/>
    <w:pPr>
      <w:numPr>
        <w:ilvl w:val="7"/>
        <w:numId w:val="3"/>
      </w:numPr>
      <w:tabs>
        <w:tab w:val="clear" w:pos="5400"/>
        <w:tab w:val="left" w:pos="5760"/>
      </w:tabs>
      <w:spacing w:after="120"/>
      <w:ind w:left="5760" w:hanging="720"/>
      <w:outlineLvl w:val="7"/>
    </w:pPr>
    <w:rPr>
      <w:b/>
    </w:rPr>
  </w:style>
  <w:style w:type="paragraph" w:styleId="Heading9">
    <w:name w:val="heading 9"/>
    <w:basedOn w:val="Normal"/>
    <w:next w:val="ParaNum"/>
    <w:qFormat/>
    <w:rsid w:val="00E32D77"/>
    <w:pPr>
      <w:numPr>
        <w:ilvl w:val="8"/>
        <w:numId w:val="3"/>
      </w:numPr>
      <w:tabs>
        <w:tab w:val="clear" w:pos="6120"/>
        <w:tab w:val="left" w:pos="6480"/>
      </w:tabs>
      <w:spacing w:after="120"/>
      <w:ind w:left="6480" w:hanging="720"/>
      <w:outlineLvl w:val="8"/>
    </w:pPr>
    <w:rPr>
      <w:b/>
    </w:rPr>
  </w:style>
  <w:style w:type="character" w:default="1" w:styleId="DefaultParagraphFont">
    <w:name w:val="Default Paragraph Font"/>
    <w:uiPriority w:val="1"/>
    <w:semiHidden/>
    <w:unhideWhenUsed/>
    <w:rsid w:val="00A06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FBB"/>
  </w:style>
  <w:style w:type="paragraph" w:customStyle="1" w:styleId="ParaNum">
    <w:name w:val="ParaNum"/>
    <w:basedOn w:val="Normal"/>
    <w:link w:val="ParaNumChar1"/>
    <w:rsid w:val="00E32D77"/>
    <w:pPr>
      <w:numPr>
        <w:numId w:val="2"/>
      </w:numPr>
      <w:tabs>
        <w:tab w:val="clear" w:pos="1080"/>
        <w:tab w:val="num" w:pos="1440"/>
      </w:tabs>
      <w:spacing w:after="120"/>
    </w:pPr>
  </w:style>
  <w:style w:type="paragraph" w:styleId="EndnoteText">
    <w:name w:val="endnote text"/>
    <w:basedOn w:val="Normal"/>
    <w:semiHidden/>
    <w:rsid w:val="00E32D77"/>
    <w:rPr>
      <w:sz w:val="20"/>
    </w:rPr>
  </w:style>
  <w:style w:type="character" w:styleId="EndnoteReference">
    <w:name w:val="endnote reference"/>
    <w:semiHidden/>
    <w:rsid w:val="00E32D77"/>
    <w:rPr>
      <w:vertAlign w:val="superscript"/>
    </w:rPr>
  </w:style>
  <w:style w:type="paragraph" w:styleId="FootnoteText">
    <w:name w:val="footnote text"/>
    <w:aliases w:val="Footnote Text Char Char Char1,Footnote Text Char1,Footnote Text Char1 Char Char1 Char Char1,Footnote Text Char2,Footnote Text Char2 Char1 Char Char Char Char1,Footnote Text Char2 Char1 Char1 Char1,Footnote Text Char3 Char Char Char Char1,f"/>
    <w:link w:val="FootnoteTextChar"/>
    <w:rsid w:val="00E32D77"/>
    <w:pPr>
      <w:spacing w:after="120"/>
    </w:p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rsid w:val="00E32D77"/>
    <w:rPr>
      <w:rFonts w:ascii="Times New Roman" w:hAnsi="Times New Roman"/>
      <w:dstrike w:val="0"/>
      <w:color w:val="auto"/>
      <w:sz w:val="22"/>
      <w:vertAlign w:val="superscript"/>
    </w:rPr>
  </w:style>
  <w:style w:type="paragraph" w:styleId="TOC1">
    <w:name w:val="toc 1"/>
    <w:basedOn w:val="Normal"/>
    <w:next w:val="Normal"/>
    <w:uiPriority w:val="39"/>
    <w:rsid w:val="00E32D77"/>
    <w:pPr>
      <w:tabs>
        <w:tab w:val="left" w:pos="360"/>
        <w:tab w:val="right" w:leader="dot" w:pos="9360"/>
      </w:tabs>
      <w:suppressAutoHyphens/>
      <w:ind w:left="360" w:right="720" w:hanging="360"/>
    </w:pPr>
    <w:rPr>
      <w:caps/>
      <w:noProof/>
    </w:rPr>
  </w:style>
  <w:style w:type="paragraph" w:styleId="TOC2">
    <w:name w:val="toc 2"/>
    <w:basedOn w:val="Normal"/>
    <w:next w:val="Normal"/>
    <w:semiHidden/>
    <w:rsid w:val="00E32D77"/>
    <w:pPr>
      <w:tabs>
        <w:tab w:val="left" w:pos="720"/>
        <w:tab w:val="right" w:leader="dot" w:pos="9360"/>
      </w:tabs>
      <w:suppressAutoHyphens/>
      <w:ind w:left="720" w:right="720" w:hanging="360"/>
    </w:pPr>
    <w:rPr>
      <w:noProof/>
    </w:rPr>
  </w:style>
  <w:style w:type="paragraph" w:styleId="TOC3">
    <w:name w:val="toc 3"/>
    <w:basedOn w:val="Normal"/>
    <w:next w:val="Normal"/>
    <w:semiHidden/>
    <w:rsid w:val="00E32D77"/>
    <w:pPr>
      <w:tabs>
        <w:tab w:val="left" w:pos="1080"/>
        <w:tab w:val="right" w:leader="dot" w:pos="9360"/>
      </w:tabs>
      <w:suppressAutoHyphens/>
      <w:ind w:left="1080" w:right="720" w:hanging="360"/>
    </w:pPr>
    <w:rPr>
      <w:noProof/>
    </w:rPr>
  </w:style>
  <w:style w:type="paragraph" w:styleId="TOC4">
    <w:name w:val="toc 4"/>
    <w:basedOn w:val="Normal"/>
    <w:next w:val="Normal"/>
    <w:autoRedefine/>
    <w:semiHidden/>
    <w:rsid w:val="00E32D77"/>
    <w:pPr>
      <w:tabs>
        <w:tab w:val="left" w:pos="1440"/>
        <w:tab w:val="right" w:leader="dot" w:pos="9360"/>
      </w:tabs>
      <w:suppressAutoHyphens/>
      <w:ind w:left="1440" w:right="720" w:hanging="360"/>
    </w:pPr>
    <w:rPr>
      <w:noProof/>
    </w:rPr>
  </w:style>
  <w:style w:type="paragraph" w:styleId="TOC5">
    <w:name w:val="toc 5"/>
    <w:basedOn w:val="Normal"/>
    <w:next w:val="Normal"/>
    <w:autoRedefine/>
    <w:semiHidden/>
    <w:rsid w:val="00E32D77"/>
    <w:pPr>
      <w:tabs>
        <w:tab w:val="left" w:pos="1800"/>
        <w:tab w:val="right" w:leader="dot" w:pos="9360"/>
      </w:tabs>
      <w:suppressAutoHyphens/>
      <w:ind w:left="1800" w:right="720" w:hanging="360"/>
    </w:pPr>
    <w:rPr>
      <w:noProof/>
    </w:rPr>
  </w:style>
  <w:style w:type="paragraph" w:styleId="TOC6">
    <w:name w:val="toc 6"/>
    <w:basedOn w:val="Normal"/>
    <w:next w:val="Normal"/>
    <w:autoRedefine/>
    <w:semiHidden/>
    <w:rsid w:val="00E32D77"/>
    <w:pPr>
      <w:tabs>
        <w:tab w:val="left" w:pos="2160"/>
        <w:tab w:val="right" w:leader="dot" w:pos="9360"/>
      </w:tabs>
      <w:suppressAutoHyphens/>
      <w:ind w:left="2160" w:hanging="360"/>
    </w:pPr>
    <w:rPr>
      <w:noProof/>
    </w:rPr>
  </w:style>
  <w:style w:type="paragraph" w:styleId="TOC7">
    <w:name w:val="toc 7"/>
    <w:basedOn w:val="Normal"/>
    <w:next w:val="Normal"/>
    <w:autoRedefine/>
    <w:semiHidden/>
    <w:rsid w:val="00E32D77"/>
    <w:pPr>
      <w:tabs>
        <w:tab w:val="left" w:pos="2520"/>
        <w:tab w:val="right" w:leader="dot" w:pos="9360"/>
      </w:tabs>
      <w:suppressAutoHyphens/>
      <w:ind w:left="2520" w:hanging="360"/>
    </w:pPr>
    <w:rPr>
      <w:noProof/>
    </w:rPr>
  </w:style>
  <w:style w:type="paragraph" w:styleId="TOC8">
    <w:name w:val="toc 8"/>
    <w:basedOn w:val="Normal"/>
    <w:next w:val="Normal"/>
    <w:autoRedefine/>
    <w:semiHidden/>
    <w:rsid w:val="00E32D77"/>
    <w:pPr>
      <w:tabs>
        <w:tab w:val="left" w:pos="2880"/>
        <w:tab w:val="right" w:leader="dot" w:pos="9360"/>
      </w:tabs>
      <w:suppressAutoHyphens/>
      <w:ind w:left="2880" w:hanging="360"/>
    </w:pPr>
    <w:rPr>
      <w:noProof/>
    </w:rPr>
  </w:style>
  <w:style w:type="paragraph" w:styleId="TOC9">
    <w:name w:val="toc 9"/>
    <w:basedOn w:val="Normal"/>
    <w:next w:val="Normal"/>
    <w:autoRedefine/>
    <w:semiHidden/>
    <w:rsid w:val="00E32D77"/>
    <w:pPr>
      <w:tabs>
        <w:tab w:val="left" w:pos="3240"/>
        <w:tab w:val="right" w:leader="dot" w:pos="9360"/>
      </w:tabs>
      <w:suppressAutoHyphens/>
      <w:ind w:left="3240" w:hanging="360"/>
    </w:pPr>
    <w:rPr>
      <w:noProof/>
    </w:rPr>
  </w:style>
  <w:style w:type="paragraph" w:styleId="TOAHeading">
    <w:name w:val="toa heading"/>
    <w:basedOn w:val="Normal"/>
    <w:next w:val="Normal"/>
    <w:semiHidden/>
    <w:rsid w:val="00E32D77"/>
    <w:pPr>
      <w:tabs>
        <w:tab w:val="right" w:pos="9360"/>
      </w:tabs>
      <w:suppressAutoHyphens/>
    </w:pPr>
  </w:style>
  <w:style w:type="character" w:customStyle="1" w:styleId="EquationCaption">
    <w:name w:val="_Equation Caption"/>
    <w:rsid w:val="00E32D77"/>
  </w:style>
  <w:style w:type="paragraph" w:styleId="Header">
    <w:name w:val="header"/>
    <w:basedOn w:val="Normal"/>
    <w:autoRedefine/>
    <w:rsid w:val="00E32D77"/>
    <w:pPr>
      <w:tabs>
        <w:tab w:val="center" w:pos="4680"/>
        <w:tab w:val="right" w:pos="9360"/>
      </w:tabs>
    </w:pPr>
    <w:rPr>
      <w:rFonts w:ascii="Arial" w:hAnsi="Arial" w:cs="Arial"/>
      <w:b/>
      <w:sz w:val="96"/>
      <w:szCs w:val="96"/>
    </w:rPr>
  </w:style>
  <w:style w:type="paragraph" w:styleId="Footer">
    <w:name w:val="footer"/>
    <w:basedOn w:val="Normal"/>
    <w:link w:val="FooterChar"/>
    <w:uiPriority w:val="99"/>
    <w:rsid w:val="00E32D77"/>
    <w:pPr>
      <w:tabs>
        <w:tab w:val="center" w:pos="4320"/>
        <w:tab w:val="right" w:pos="8640"/>
      </w:tabs>
    </w:pPr>
  </w:style>
  <w:style w:type="character" w:styleId="PageNumber">
    <w:name w:val="page number"/>
    <w:basedOn w:val="DefaultParagraphFont"/>
    <w:rsid w:val="00E32D77"/>
  </w:style>
  <w:style w:type="paragraph" w:styleId="BlockText">
    <w:name w:val="Block Text"/>
    <w:basedOn w:val="Normal"/>
    <w:rsid w:val="00E32D77"/>
    <w:pPr>
      <w:spacing w:after="240"/>
      <w:ind w:left="1440" w:right="1440"/>
    </w:pPr>
  </w:style>
  <w:style w:type="paragraph" w:customStyle="1" w:styleId="Paratitle">
    <w:name w:val="Para title"/>
    <w:basedOn w:val="Normal"/>
    <w:rsid w:val="00E32D77"/>
    <w:pPr>
      <w:tabs>
        <w:tab w:val="center" w:pos="9270"/>
      </w:tabs>
      <w:spacing w:after="240"/>
    </w:pPr>
    <w:rPr>
      <w:spacing w:val="-2"/>
    </w:rPr>
  </w:style>
  <w:style w:type="paragraph" w:customStyle="1" w:styleId="Bullet">
    <w:name w:val="Bullet"/>
    <w:basedOn w:val="Normal"/>
    <w:rsid w:val="00E32D77"/>
    <w:pPr>
      <w:numPr>
        <w:numId w:val="1"/>
      </w:numPr>
      <w:tabs>
        <w:tab w:val="clear" w:pos="360"/>
        <w:tab w:val="left" w:pos="2160"/>
      </w:tabs>
      <w:spacing w:after="220"/>
      <w:ind w:left="2160" w:hanging="720"/>
    </w:pPr>
  </w:style>
  <w:style w:type="paragraph" w:customStyle="1" w:styleId="TableFormat">
    <w:name w:val="TableFormat"/>
    <w:basedOn w:val="Bullet"/>
    <w:rsid w:val="00E32D77"/>
    <w:pPr>
      <w:numPr>
        <w:numId w:val="0"/>
      </w:numPr>
      <w:tabs>
        <w:tab w:val="clear" w:pos="2160"/>
        <w:tab w:val="left" w:pos="5040"/>
      </w:tabs>
      <w:ind w:left="5040" w:hanging="3600"/>
    </w:pPr>
  </w:style>
  <w:style w:type="paragraph" w:customStyle="1" w:styleId="TOCTitle">
    <w:name w:val="TOC Title"/>
    <w:basedOn w:val="Normal"/>
    <w:rsid w:val="00E32D77"/>
    <w:pPr>
      <w:spacing w:before="240" w:after="240"/>
      <w:jc w:val="center"/>
    </w:pPr>
    <w:rPr>
      <w:rFonts w:ascii="Times New Roman Bold" w:hAnsi="Times New Roman Bold"/>
      <w:b/>
      <w:caps/>
      <w:spacing w:val="-2"/>
    </w:rPr>
  </w:style>
  <w:style w:type="paragraph" w:customStyle="1" w:styleId="StyleBoldCentered">
    <w:name w:val="Style Bold Centered"/>
    <w:basedOn w:val="Normal"/>
    <w:rsid w:val="00E32D77"/>
    <w:pPr>
      <w:jc w:val="center"/>
    </w:pPr>
    <w:rPr>
      <w:rFonts w:ascii="Times New Roman Bold" w:hAnsi="Times New Roman Bold"/>
      <w:b/>
      <w:bCs/>
      <w:caps/>
      <w:szCs w:val="22"/>
    </w:rPr>
  </w:style>
  <w:style w:type="character" w:styleId="Hyperlink">
    <w:name w:val="Hyperlink"/>
    <w:rsid w:val="00E32D77"/>
    <w:rPr>
      <w:color w:val="0000FF"/>
      <w:u w:val="single"/>
    </w:rPr>
  </w:style>
  <w:style w:type="character" w:customStyle="1" w:styleId="FooterChar">
    <w:name w:val="Footer Char"/>
    <w:link w:val="Footer"/>
    <w:uiPriority w:val="99"/>
    <w:rsid w:val="00E32D77"/>
    <w:rPr>
      <w:snapToGrid w:val="0"/>
      <w:kern w:val="28"/>
      <w:sz w:val="22"/>
    </w:rPr>
  </w:style>
  <w:style w:type="character" w:customStyle="1" w:styleId="UnresolvedMention1">
    <w:name w:val="Unresolved Mention1"/>
    <w:uiPriority w:val="99"/>
    <w:semiHidden/>
    <w:unhideWhenUsed/>
    <w:rsid w:val="006C4763"/>
    <w:rPr>
      <w:color w:val="605E5C"/>
      <w:shd w:val="clear" w:color="auto" w:fill="E1DFDD"/>
    </w:rPr>
  </w:style>
  <w:style w:type="character" w:customStyle="1" w:styleId="FootnoteTextChar">
    <w:name w:val="Footnote Text Char"/>
    <w:aliases w:val="Footnote Text Char Char Char1 Char,Footnote Text Char1 Char,Footnote Text Char1 Char Char1 Char Char1 Char,Footnote Text Char2 Char,Footnote Text Char2 Char1 Char Char Char Char1 Char,Footnote Text Char2 Char1 Char1 Char1 Char,f Char"/>
    <w:link w:val="FootnoteText"/>
    <w:rsid w:val="00091295"/>
  </w:style>
  <w:style w:type="character" w:customStyle="1" w:styleId="ParaNumChar1">
    <w:name w:val="ParaNum Char1"/>
    <w:link w:val="ParaNum"/>
    <w:rsid w:val="00091295"/>
    <w:rPr>
      <w:snapToGrid w:val="0"/>
      <w:kern w:val="28"/>
      <w:sz w:val="22"/>
    </w:rPr>
  </w:style>
  <w:style w:type="paragraph" w:customStyle="1" w:styleId="paragraph">
    <w:name w:val="paragraph"/>
    <w:basedOn w:val="Normal"/>
    <w:rsid w:val="006F50A6"/>
    <w:pPr>
      <w:spacing w:before="100" w:beforeAutospacing="1" w:after="100" w:afterAutospacing="1"/>
    </w:pPr>
  </w:style>
  <w:style w:type="character" w:customStyle="1" w:styleId="normaltextrun">
    <w:name w:val="normaltextrun"/>
    <w:basedOn w:val="DefaultParagraphFont"/>
    <w:rsid w:val="006F50A6"/>
  </w:style>
  <w:style w:type="character" w:customStyle="1" w:styleId="eop">
    <w:name w:val="eop"/>
    <w:basedOn w:val="DefaultParagraphFont"/>
    <w:rsid w:val="006F50A6"/>
  </w:style>
  <w:style w:type="character" w:customStyle="1" w:styleId="tabchar">
    <w:name w:val="tabchar"/>
    <w:basedOn w:val="DefaultParagraphFont"/>
    <w:rsid w:val="006F50A6"/>
  </w:style>
  <w:style w:type="character" w:customStyle="1" w:styleId="UnresolvedMention2">
    <w:name w:val="Unresolved Mention2"/>
    <w:uiPriority w:val="99"/>
    <w:unhideWhenUsed/>
    <w:rsid w:val="00266E99"/>
    <w:rPr>
      <w:color w:val="605E5C"/>
      <w:shd w:val="clear" w:color="auto" w:fill="E1DFDD"/>
    </w:rPr>
  </w:style>
  <w:style w:type="character" w:styleId="CommentReference">
    <w:name w:val="annotation reference"/>
    <w:basedOn w:val="DefaultParagraphFont"/>
    <w:uiPriority w:val="99"/>
    <w:semiHidden/>
    <w:unhideWhenUsed/>
    <w:rsid w:val="005A520E"/>
    <w:rPr>
      <w:sz w:val="16"/>
      <w:szCs w:val="16"/>
    </w:rPr>
  </w:style>
  <w:style w:type="paragraph" w:styleId="CommentText">
    <w:name w:val="annotation text"/>
    <w:basedOn w:val="Normal"/>
    <w:link w:val="CommentTextChar"/>
    <w:uiPriority w:val="99"/>
    <w:unhideWhenUsed/>
    <w:rsid w:val="005A520E"/>
    <w:rPr>
      <w:snapToGrid w:val="0"/>
      <w:sz w:val="20"/>
    </w:rPr>
  </w:style>
  <w:style w:type="character" w:customStyle="1" w:styleId="CommentTextChar">
    <w:name w:val="Comment Text Char"/>
    <w:basedOn w:val="DefaultParagraphFont"/>
    <w:link w:val="CommentText"/>
    <w:uiPriority w:val="99"/>
    <w:rsid w:val="005A520E"/>
    <w:rPr>
      <w:snapToGrid w:val="0"/>
      <w:kern w:val="28"/>
    </w:rPr>
  </w:style>
  <w:style w:type="paragraph" w:styleId="CommentSubject">
    <w:name w:val="annotation subject"/>
    <w:basedOn w:val="CommentText"/>
    <w:next w:val="CommentText"/>
    <w:link w:val="CommentSubjectChar"/>
    <w:uiPriority w:val="99"/>
    <w:semiHidden/>
    <w:unhideWhenUsed/>
    <w:rsid w:val="005A520E"/>
    <w:rPr>
      <w:b/>
      <w:bCs/>
    </w:rPr>
  </w:style>
  <w:style w:type="character" w:customStyle="1" w:styleId="CommentSubjectChar">
    <w:name w:val="Comment Subject Char"/>
    <w:basedOn w:val="CommentTextChar"/>
    <w:link w:val="CommentSubject"/>
    <w:uiPriority w:val="99"/>
    <w:semiHidden/>
    <w:rsid w:val="005A520E"/>
    <w:rPr>
      <w:b/>
      <w:bCs/>
      <w:snapToGrid w:val="0"/>
      <w:kern w:val="28"/>
    </w:rPr>
  </w:style>
  <w:style w:type="paragraph" w:styleId="ListParagraph">
    <w:name w:val="List Paragraph"/>
    <w:basedOn w:val="Normal"/>
    <w:uiPriority w:val="34"/>
    <w:qFormat/>
    <w:rsid w:val="00982F02"/>
    <w:pPr>
      <w:ind w:left="720"/>
      <w:contextualSpacing/>
    </w:pPr>
    <w:rPr>
      <w:snapToGrid w:val="0"/>
    </w:rPr>
  </w:style>
  <w:style w:type="paragraph" w:styleId="Revision">
    <w:name w:val="Revision"/>
    <w:hidden/>
    <w:uiPriority w:val="99"/>
    <w:semiHidden/>
    <w:rsid w:val="007618FE"/>
    <w:rPr>
      <w:snapToGrid w:val="0"/>
      <w:kern w:val="28"/>
      <w:sz w:val="22"/>
    </w:rPr>
  </w:style>
  <w:style w:type="character" w:styleId="UnresolvedMention">
    <w:name w:val="Unresolved Mention"/>
    <w:uiPriority w:val="99"/>
    <w:unhideWhenUsed/>
    <w:rsid w:val="00E32D77"/>
    <w:rPr>
      <w:color w:val="605E5C"/>
      <w:shd w:val="clear" w:color="auto" w:fill="E1DFDD"/>
    </w:rPr>
  </w:style>
  <w:style w:type="character" w:customStyle="1" w:styleId="serif">
    <w:name w:val="serif"/>
    <w:basedOn w:val="DefaultParagraphFont"/>
    <w:rsid w:val="00AF6B31"/>
  </w:style>
  <w:style w:type="character" w:customStyle="1" w:styleId="cf01">
    <w:name w:val="cf01"/>
    <w:basedOn w:val="DefaultParagraphFont"/>
    <w:rsid w:val="00943BF5"/>
    <w:rPr>
      <w:rFonts w:ascii="Segoe UI" w:hAnsi="Segoe UI" w:cs="Segoe UI" w:hint="default"/>
      <w:sz w:val="18"/>
      <w:szCs w:val="18"/>
    </w:rPr>
  </w:style>
  <w:style w:type="character" w:styleId="FollowedHyperlink">
    <w:name w:val="FollowedHyperlink"/>
    <w:basedOn w:val="DefaultParagraphFont"/>
    <w:uiPriority w:val="99"/>
    <w:semiHidden/>
    <w:unhideWhenUsed/>
    <w:rsid w:val="00345722"/>
    <w:rPr>
      <w:color w:val="954F72" w:themeColor="followedHyperlink"/>
      <w:u w:val="single"/>
    </w:rPr>
  </w:style>
  <w:style w:type="character" w:styleId="Mention">
    <w:name w:val="Mention"/>
    <w:basedOn w:val="DefaultParagraphFont"/>
    <w:uiPriority w:val="99"/>
    <w:rsid w:val="00721834"/>
    <w:rPr>
      <w:color w:val="2B579A"/>
      <w:shd w:val="clear" w:color="auto" w:fill="E1DFDD"/>
    </w:rPr>
  </w:style>
  <w:style w:type="character" w:customStyle="1" w:styleId="cf11">
    <w:name w:val="cf11"/>
    <w:basedOn w:val="DefaultParagraphFont"/>
    <w:rsid w:val="00C3561B"/>
    <w:rPr>
      <w:rFonts w:ascii="Segoe UI" w:hAnsi="Segoe UI" w:cs="Segoe UI" w:hint="default"/>
      <w:sz w:val="18"/>
      <w:szCs w:val="18"/>
    </w:rPr>
  </w:style>
  <w:style w:type="paragraph" w:styleId="NormalWeb">
    <w:name w:val="Normal (Web)"/>
    <w:basedOn w:val="Normal"/>
    <w:uiPriority w:val="99"/>
    <w:semiHidden/>
    <w:unhideWhenUsed/>
    <w:rsid w:val="0026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fcc.gov/ecfs" TargetMode="External" /><Relationship Id="rId7" Type="http://schemas.openxmlformats.org/officeDocument/2006/relationships/hyperlink" Target="mailto:fcc504@fcc.gov" TargetMode="External" /><Relationship Id="rId8" Type="http://schemas.openxmlformats.org/officeDocument/2006/relationships/hyperlink" Target="mailto:rfsafety@fcc.gov" TargetMode="Externa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doi.org/10.1080/00207233.2024.2375861" TargetMode="External" /><Relationship Id="rId2" Type="http://schemas.openxmlformats.org/officeDocument/2006/relationships/hyperlink" Target="https://www.arpansa.gov.au/good-quality-research-shows-no-environmental-effects-radio-waves" TargetMode="External" /><Relationship Id="rId3" Type="http://schemas.openxmlformats.org/officeDocument/2006/relationships/hyperlink" Target="https://www.icnirp.org/en/about-icnirp/working-groups/index.html" TargetMode="External" /><Relationship Id="rId4" Type="http://schemas.openxmlformats.org/officeDocument/2006/relationships/hyperlink" Target="https://www.fda.gov/media/135043/download" TargetMode="External" /><Relationship Id="rId5" Type="http://schemas.openxmlformats.org/officeDocument/2006/relationships/hyperlink" Target="https://www.fcc.gov/general/radio-frequency-safety-0" TargetMode="External" /><Relationship Id="rId6" Type="http://schemas.openxmlformats.org/officeDocument/2006/relationships/hyperlink" Target="https://www.fda.gov/radiation-emitting-products/cell-phones/scientific-evidence-cell-phone-safety" TargetMode="External" /><Relationship Id="rId7" Type="http://schemas.openxmlformats.org/officeDocument/2006/relationships/hyperlink" Target="https://non-ionizing.ncrponline.or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